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A2" w:rsidRDefault="005F04A2" w:rsidP="005F04A2">
      <w:pPr>
        <w:pStyle w:val="Heading1"/>
      </w:pPr>
      <w:bookmarkStart w:id="0" w:name="_Toc330601430"/>
      <w:r>
        <w:t>Wind Energy CP</w:t>
      </w:r>
      <w:bookmarkEnd w:id="0"/>
    </w:p>
    <w:p w:rsidR="005F04A2" w:rsidRDefault="005F04A2" w:rsidP="005F04A2"/>
    <w:p w:rsidR="005F04A2" w:rsidRDefault="005F04A2">
      <w:pPr>
        <w:pStyle w:val="TOC1"/>
        <w:tabs>
          <w:tab w:val="right" w:leader="dot" w:pos="9350"/>
        </w:tabs>
        <w:rPr>
          <w:noProof/>
        </w:rPr>
      </w:pPr>
      <w:r>
        <w:fldChar w:fldCharType="begin"/>
      </w:r>
      <w:r>
        <w:instrText xml:space="preserve"> TOC \o "1-2" \h \z \u </w:instrText>
      </w:r>
      <w:r>
        <w:fldChar w:fldCharType="separate"/>
      </w:r>
      <w:hyperlink w:anchor="_Toc330601430" w:history="1">
        <w:r w:rsidRPr="00292B6E">
          <w:rPr>
            <w:rStyle w:val="Hyperlink"/>
            <w:noProof/>
          </w:rPr>
          <w:t>Wind Energy CP</w:t>
        </w:r>
        <w:r>
          <w:rPr>
            <w:noProof/>
            <w:webHidden/>
          </w:rPr>
          <w:tab/>
        </w:r>
        <w:r>
          <w:rPr>
            <w:noProof/>
            <w:webHidden/>
          </w:rPr>
          <w:fldChar w:fldCharType="begin"/>
        </w:r>
        <w:r>
          <w:rPr>
            <w:noProof/>
            <w:webHidden/>
          </w:rPr>
          <w:instrText xml:space="preserve"> PAGEREF _Toc330601430 \h </w:instrText>
        </w:r>
        <w:r>
          <w:rPr>
            <w:noProof/>
            <w:webHidden/>
          </w:rPr>
        </w:r>
        <w:r>
          <w:rPr>
            <w:noProof/>
            <w:webHidden/>
          </w:rPr>
          <w:fldChar w:fldCharType="separate"/>
        </w:r>
        <w:r>
          <w:rPr>
            <w:noProof/>
            <w:webHidden/>
          </w:rPr>
          <w:t>1</w:t>
        </w:r>
        <w:r>
          <w:rPr>
            <w:noProof/>
            <w:webHidden/>
          </w:rPr>
          <w:fldChar w:fldCharType="end"/>
        </w:r>
      </w:hyperlink>
    </w:p>
    <w:p w:rsidR="005F04A2" w:rsidRDefault="005F04A2">
      <w:pPr>
        <w:pStyle w:val="TOC2"/>
        <w:tabs>
          <w:tab w:val="right" w:leader="dot" w:pos="9350"/>
        </w:tabs>
        <w:rPr>
          <w:noProof/>
        </w:rPr>
      </w:pPr>
      <w:hyperlink w:anchor="_Toc330601431" w:history="1">
        <w:r w:rsidRPr="00292B6E">
          <w:rPr>
            <w:rStyle w:val="Hyperlink"/>
            <w:noProof/>
          </w:rPr>
          <w:t>CP Text</w:t>
        </w:r>
        <w:r>
          <w:rPr>
            <w:noProof/>
            <w:webHidden/>
          </w:rPr>
          <w:tab/>
        </w:r>
        <w:r>
          <w:rPr>
            <w:noProof/>
            <w:webHidden/>
          </w:rPr>
          <w:fldChar w:fldCharType="begin"/>
        </w:r>
        <w:r>
          <w:rPr>
            <w:noProof/>
            <w:webHidden/>
          </w:rPr>
          <w:instrText xml:space="preserve"> PAGEREF _Toc330601431 \h </w:instrText>
        </w:r>
        <w:r>
          <w:rPr>
            <w:noProof/>
            <w:webHidden/>
          </w:rPr>
        </w:r>
        <w:r>
          <w:rPr>
            <w:noProof/>
            <w:webHidden/>
          </w:rPr>
          <w:fldChar w:fldCharType="separate"/>
        </w:r>
        <w:r>
          <w:rPr>
            <w:noProof/>
            <w:webHidden/>
          </w:rPr>
          <w:t>2</w:t>
        </w:r>
        <w:r>
          <w:rPr>
            <w:noProof/>
            <w:webHidden/>
          </w:rPr>
          <w:fldChar w:fldCharType="end"/>
        </w:r>
      </w:hyperlink>
    </w:p>
    <w:p w:rsidR="005F04A2" w:rsidRDefault="005F04A2">
      <w:pPr>
        <w:pStyle w:val="TOC2"/>
        <w:tabs>
          <w:tab w:val="right" w:leader="dot" w:pos="9350"/>
        </w:tabs>
        <w:rPr>
          <w:noProof/>
        </w:rPr>
      </w:pPr>
      <w:hyperlink w:anchor="_Toc330601432" w:history="1">
        <w:r w:rsidRPr="00292B6E">
          <w:rPr>
            <w:rStyle w:val="Hyperlink"/>
            <w:noProof/>
          </w:rPr>
          <w:t>Solvency – Tax Credit</w:t>
        </w:r>
        <w:r>
          <w:rPr>
            <w:noProof/>
            <w:webHidden/>
          </w:rPr>
          <w:tab/>
        </w:r>
        <w:r>
          <w:rPr>
            <w:noProof/>
            <w:webHidden/>
          </w:rPr>
          <w:fldChar w:fldCharType="begin"/>
        </w:r>
        <w:r>
          <w:rPr>
            <w:noProof/>
            <w:webHidden/>
          </w:rPr>
          <w:instrText xml:space="preserve"> PAGEREF _Toc330601432 \h </w:instrText>
        </w:r>
        <w:r>
          <w:rPr>
            <w:noProof/>
            <w:webHidden/>
          </w:rPr>
        </w:r>
        <w:r>
          <w:rPr>
            <w:noProof/>
            <w:webHidden/>
          </w:rPr>
          <w:fldChar w:fldCharType="separate"/>
        </w:r>
        <w:r>
          <w:rPr>
            <w:noProof/>
            <w:webHidden/>
          </w:rPr>
          <w:t>4</w:t>
        </w:r>
        <w:r>
          <w:rPr>
            <w:noProof/>
            <w:webHidden/>
          </w:rPr>
          <w:fldChar w:fldCharType="end"/>
        </w:r>
      </w:hyperlink>
    </w:p>
    <w:p w:rsidR="005F04A2" w:rsidRDefault="005F04A2">
      <w:pPr>
        <w:pStyle w:val="TOC2"/>
        <w:tabs>
          <w:tab w:val="right" w:leader="dot" w:pos="9350"/>
        </w:tabs>
        <w:rPr>
          <w:noProof/>
        </w:rPr>
      </w:pPr>
      <w:hyperlink w:anchor="_Toc330601433" w:history="1">
        <w:r w:rsidRPr="00292B6E">
          <w:rPr>
            <w:rStyle w:val="Hyperlink"/>
            <w:noProof/>
          </w:rPr>
          <w:t>Solvency – Wind Solves Econ</w:t>
        </w:r>
        <w:r>
          <w:rPr>
            <w:noProof/>
            <w:webHidden/>
          </w:rPr>
          <w:tab/>
        </w:r>
        <w:r>
          <w:rPr>
            <w:noProof/>
            <w:webHidden/>
          </w:rPr>
          <w:fldChar w:fldCharType="begin"/>
        </w:r>
        <w:r>
          <w:rPr>
            <w:noProof/>
            <w:webHidden/>
          </w:rPr>
          <w:instrText xml:space="preserve"> PAGEREF _Toc330601433 \h </w:instrText>
        </w:r>
        <w:r>
          <w:rPr>
            <w:noProof/>
            <w:webHidden/>
          </w:rPr>
        </w:r>
        <w:r>
          <w:rPr>
            <w:noProof/>
            <w:webHidden/>
          </w:rPr>
          <w:fldChar w:fldCharType="separate"/>
        </w:r>
        <w:r>
          <w:rPr>
            <w:noProof/>
            <w:webHidden/>
          </w:rPr>
          <w:t>6</w:t>
        </w:r>
        <w:r>
          <w:rPr>
            <w:noProof/>
            <w:webHidden/>
          </w:rPr>
          <w:fldChar w:fldCharType="end"/>
        </w:r>
      </w:hyperlink>
    </w:p>
    <w:p w:rsidR="005F04A2" w:rsidRDefault="005F04A2">
      <w:pPr>
        <w:pStyle w:val="TOC2"/>
        <w:tabs>
          <w:tab w:val="right" w:leader="dot" w:pos="9350"/>
        </w:tabs>
        <w:rPr>
          <w:noProof/>
        </w:rPr>
      </w:pPr>
      <w:hyperlink w:anchor="_Toc330601434" w:history="1">
        <w:r w:rsidRPr="00292B6E">
          <w:rPr>
            <w:rStyle w:val="Hyperlink"/>
            <w:noProof/>
          </w:rPr>
          <w:t>Solvency – HSR Aff</w:t>
        </w:r>
        <w:r>
          <w:rPr>
            <w:noProof/>
            <w:webHidden/>
          </w:rPr>
          <w:tab/>
        </w:r>
        <w:r>
          <w:rPr>
            <w:noProof/>
            <w:webHidden/>
          </w:rPr>
          <w:fldChar w:fldCharType="begin"/>
        </w:r>
        <w:r>
          <w:rPr>
            <w:noProof/>
            <w:webHidden/>
          </w:rPr>
          <w:instrText xml:space="preserve"> PAGEREF _Toc330601434 \h </w:instrText>
        </w:r>
        <w:r>
          <w:rPr>
            <w:noProof/>
            <w:webHidden/>
          </w:rPr>
        </w:r>
        <w:r>
          <w:rPr>
            <w:noProof/>
            <w:webHidden/>
          </w:rPr>
          <w:fldChar w:fldCharType="separate"/>
        </w:r>
        <w:r>
          <w:rPr>
            <w:noProof/>
            <w:webHidden/>
          </w:rPr>
          <w:t>9</w:t>
        </w:r>
        <w:r>
          <w:rPr>
            <w:noProof/>
            <w:webHidden/>
          </w:rPr>
          <w:fldChar w:fldCharType="end"/>
        </w:r>
      </w:hyperlink>
    </w:p>
    <w:p w:rsidR="005F04A2" w:rsidRDefault="005F04A2">
      <w:pPr>
        <w:pStyle w:val="TOC2"/>
        <w:tabs>
          <w:tab w:val="right" w:leader="dot" w:pos="9350"/>
        </w:tabs>
        <w:rPr>
          <w:noProof/>
        </w:rPr>
      </w:pPr>
      <w:hyperlink w:anchor="_Toc330601435" w:history="1">
        <w:r w:rsidRPr="00292B6E">
          <w:rPr>
            <w:rStyle w:val="Hyperlink"/>
            <w:noProof/>
          </w:rPr>
          <w:t>Current oil dependency is high and not enough in U.s.</w:t>
        </w:r>
        <w:r>
          <w:rPr>
            <w:noProof/>
            <w:webHidden/>
          </w:rPr>
          <w:tab/>
        </w:r>
        <w:r>
          <w:rPr>
            <w:noProof/>
            <w:webHidden/>
          </w:rPr>
          <w:fldChar w:fldCharType="begin"/>
        </w:r>
        <w:r>
          <w:rPr>
            <w:noProof/>
            <w:webHidden/>
          </w:rPr>
          <w:instrText xml:space="preserve"> PAGEREF _Toc330601435 \h </w:instrText>
        </w:r>
        <w:r>
          <w:rPr>
            <w:noProof/>
            <w:webHidden/>
          </w:rPr>
        </w:r>
        <w:r>
          <w:rPr>
            <w:noProof/>
            <w:webHidden/>
          </w:rPr>
          <w:fldChar w:fldCharType="separate"/>
        </w:r>
        <w:r>
          <w:rPr>
            <w:noProof/>
            <w:webHidden/>
          </w:rPr>
          <w:t>11</w:t>
        </w:r>
        <w:r>
          <w:rPr>
            <w:noProof/>
            <w:webHidden/>
          </w:rPr>
          <w:fldChar w:fldCharType="end"/>
        </w:r>
      </w:hyperlink>
    </w:p>
    <w:p w:rsidR="005F04A2" w:rsidRPr="005F04A2" w:rsidRDefault="005F04A2" w:rsidP="005F04A2">
      <w:r>
        <w:fldChar w:fldCharType="end"/>
      </w:r>
      <w:bookmarkStart w:id="1" w:name="_GoBack"/>
      <w:bookmarkEnd w:id="1"/>
    </w:p>
    <w:p w:rsidR="005F04A2" w:rsidRDefault="005F04A2" w:rsidP="005F04A2">
      <w:pPr>
        <w:pStyle w:val="Heading2"/>
      </w:pPr>
      <w:bookmarkStart w:id="2" w:name="_Toc330601431"/>
      <w:r>
        <w:lastRenderedPageBreak/>
        <w:t>CP Text</w:t>
      </w:r>
      <w:bookmarkEnd w:id="2"/>
    </w:p>
    <w:p w:rsidR="005F04A2" w:rsidRPr="00AE5C0F" w:rsidRDefault="005F04A2" w:rsidP="005F04A2">
      <w:pPr>
        <w:pStyle w:val="Heading3"/>
      </w:pPr>
      <w:r>
        <w:lastRenderedPageBreak/>
        <w:t>The United States Federal Government should grant tax credits to private companies that build nationwide wind turbines.</w:t>
      </w:r>
    </w:p>
    <w:p w:rsidR="005F04A2" w:rsidRDefault="005F04A2" w:rsidP="005F04A2">
      <w:pPr>
        <w:pStyle w:val="Heading2"/>
      </w:pPr>
      <w:bookmarkStart w:id="3" w:name="_Toc330601432"/>
      <w:r>
        <w:lastRenderedPageBreak/>
        <w:t>Solvency – Tax Credit</w:t>
      </w:r>
      <w:bookmarkEnd w:id="3"/>
    </w:p>
    <w:p w:rsidR="005F04A2" w:rsidRDefault="005F04A2" w:rsidP="005F04A2">
      <w:pPr>
        <w:pStyle w:val="Heading3"/>
      </w:pPr>
      <w:r>
        <w:lastRenderedPageBreak/>
        <w:t>United States Federal Government Tax credits have worked before specifically in wind energy – empirics.</w:t>
      </w:r>
    </w:p>
    <w:p w:rsidR="005F04A2" w:rsidRPr="006D46BE" w:rsidRDefault="005F04A2" w:rsidP="005F04A2">
      <w:pPr>
        <w:rPr>
          <w:rStyle w:val="StyleStyleBold12pt"/>
          <w:sz w:val="8"/>
        </w:rPr>
      </w:pPr>
      <w:r w:rsidRPr="006D46BE">
        <w:rPr>
          <w:sz w:val="8"/>
        </w:rPr>
        <w:t>Herb</w:t>
      </w:r>
      <w:r w:rsidRPr="006D46BE">
        <w:rPr>
          <w:rStyle w:val="StyleStyleBold12pt"/>
          <w:sz w:val="8"/>
        </w:rPr>
        <w:t xml:space="preserve"> </w:t>
      </w:r>
      <w:r w:rsidRPr="0051589E">
        <w:rPr>
          <w:rStyle w:val="StyleStyleBold12pt"/>
        </w:rPr>
        <w:t>Sargent</w:t>
      </w:r>
      <w:r>
        <w:rPr>
          <w:rStyle w:val="StyleBoldUnderline"/>
        </w:rPr>
        <w:t xml:space="preserve">, </w:t>
      </w:r>
      <w:r w:rsidRPr="006D46BE">
        <w:rPr>
          <w:sz w:val="8"/>
        </w:rPr>
        <w:t>Staff writer, 2-7-</w:t>
      </w:r>
      <w:proofErr w:type="gramStart"/>
      <w:r w:rsidRPr="0051589E">
        <w:rPr>
          <w:rStyle w:val="StyleStyleBold12pt"/>
        </w:rPr>
        <w:t>12</w:t>
      </w:r>
      <w:r w:rsidRPr="006D46BE">
        <w:rPr>
          <w:sz w:val="8"/>
        </w:rPr>
        <w:t xml:space="preserve">  Bang</w:t>
      </w:r>
      <w:proofErr w:type="gramEnd"/>
      <w:r w:rsidRPr="006D46BE">
        <w:rPr>
          <w:sz w:val="8"/>
        </w:rPr>
        <w:t xml:space="preserve"> or daily news “Keep priming the wind energy pump” http://bangordailynews.com/2012/02/07/opinion/contributors/keep-priming-the-wind-energy-pump/</w:t>
      </w:r>
    </w:p>
    <w:p w:rsidR="005F04A2" w:rsidRDefault="005F04A2" w:rsidP="005F04A2">
      <w:pPr>
        <w:rPr>
          <w:rFonts w:ascii="Georgia" w:eastAsia="Times New Roman" w:hAnsi="Georgia"/>
          <w:color w:val="000000"/>
          <w:sz w:val="10"/>
          <w:szCs w:val="15"/>
        </w:rPr>
      </w:pPr>
      <w:r w:rsidRPr="00132D09">
        <w:rPr>
          <w:rFonts w:ascii="Georgia" w:eastAsia="Times New Roman" w:hAnsi="Georgia"/>
          <w:color w:val="000000"/>
          <w:sz w:val="10"/>
          <w:szCs w:val="15"/>
        </w:rPr>
        <w:t xml:space="preserve">Unfortunately, </w:t>
      </w:r>
      <w:r w:rsidRPr="00132D09">
        <w:rPr>
          <w:rStyle w:val="StyleBoldUnderline"/>
          <w:highlight w:val="yellow"/>
        </w:rPr>
        <w:t>despite a record demonstrating progress in creating American jobs and cutting our dependence on foreign oil, Congress is poised to allow the highly successful production tax credit to expire</w:t>
      </w:r>
      <w:r w:rsidRPr="00132D09">
        <w:rPr>
          <w:rFonts w:ascii="Georgia" w:eastAsia="Times New Roman" w:hAnsi="Georgia"/>
          <w:color w:val="000000"/>
          <w:sz w:val="10"/>
          <w:szCs w:val="15"/>
          <w:highlight w:val="yellow"/>
        </w:rPr>
        <w:t xml:space="preserve">, </w:t>
      </w:r>
      <w:r w:rsidRPr="00132D09">
        <w:rPr>
          <w:rStyle w:val="StyleBoldUnderline"/>
          <w:highlight w:val="yellow"/>
        </w:rPr>
        <w:t>a move that will stop cold tens of thousands of wind energy manufacturing and engineering jobs in the United States</w:t>
      </w:r>
      <w:r w:rsidRPr="00132D09">
        <w:rPr>
          <w:rFonts w:ascii="Georgia" w:eastAsia="Times New Roman" w:hAnsi="Georgia"/>
          <w:color w:val="000000"/>
          <w:sz w:val="10"/>
          <w:szCs w:val="15"/>
        </w:rPr>
        <w:t xml:space="preserve">. Sparked by targeted federal incentives and private sector investments, </w:t>
      </w:r>
      <w:r w:rsidRPr="00132D09">
        <w:rPr>
          <w:rStyle w:val="StyleBoldUnderline"/>
          <w:highlight w:val="yellow"/>
        </w:rPr>
        <w:t>the wind energy sector is a</w:t>
      </w:r>
      <w:r w:rsidRPr="00132D09">
        <w:rPr>
          <w:rFonts w:ascii="Georgia" w:eastAsia="Times New Roman" w:hAnsi="Georgia"/>
          <w:color w:val="000000"/>
          <w:sz w:val="10"/>
          <w:szCs w:val="15"/>
        </w:rPr>
        <w:t xml:space="preserve"> </w:t>
      </w:r>
      <w:r w:rsidRPr="00132D09">
        <w:rPr>
          <w:rStyle w:val="StyleBoldUnderline"/>
          <w:highlight w:val="yellow"/>
        </w:rPr>
        <w:t>success story</w:t>
      </w:r>
      <w:r w:rsidRPr="00132D09">
        <w:rPr>
          <w:rFonts w:ascii="Georgia" w:eastAsia="Times New Roman" w:hAnsi="Georgia"/>
          <w:color w:val="000000"/>
          <w:sz w:val="10"/>
          <w:szCs w:val="15"/>
        </w:rPr>
        <w:t xml:space="preserve"> in Maine and </w:t>
      </w:r>
      <w:r w:rsidRPr="00132D09">
        <w:rPr>
          <w:rStyle w:val="StyleBoldUnderline"/>
          <w:highlight w:val="yellow"/>
        </w:rPr>
        <w:t>around the country</w:t>
      </w:r>
      <w:r w:rsidRPr="00132D09">
        <w:rPr>
          <w:rFonts w:ascii="Georgia" w:eastAsia="Times New Roman" w:hAnsi="Georgia"/>
          <w:color w:val="000000"/>
          <w:sz w:val="10"/>
          <w:szCs w:val="15"/>
          <w:highlight w:val="yellow"/>
        </w:rPr>
        <w:t>.</w:t>
      </w:r>
      <w:r w:rsidRPr="00132D09">
        <w:rPr>
          <w:rStyle w:val="StyleBoldUnderline"/>
          <w:highlight w:val="yellow"/>
        </w:rPr>
        <w:t xml:space="preserve"> Wind energy provides unlimited renewable energy, tens of thousands of manufacturing jobs, technological innovation, lower energy costs and a reduced dependence on foreign oil.</w:t>
      </w:r>
      <w:r w:rsidRPr="00132D09">
        <w:rPr>
          <w:rFonts w:ascii="Georgia" w:eastAsia="Times New Roman" w:hAnsi="Georgia"/>
          <w:color w:val="000000"/>
          <w:sz w:val="10"/>
          <w:szCs w:val="15"/>
        </w:rPr>
        <w:t xml:space="preserve"> Today, more than 400 manufacturing facilities across the U.S. supply some of the 8,000 components in a wind turbine, and 75,000 Americans work in wind manufacturing and development. </w:t>
      </w:r>
      <w:r w:rsidRPr="00132D09">
        <w:rPr>
          <w:rStyle w:val="StyleBoldUnderline"/>
          <w:highlight w:val="yellow"/>
        </w:rPr>
        <w:t>That forward progress is not</w:t>
      </w:r>
      <w:r w:rsidRPr="00132D09">
        <w:rPr>
          <w:rFonts w:ascii="Georgia" w:eastAsia="Times New Roman" w:hAnsi="Georgia"/>
          <w:color w:val="000000"/>
          <w:sz w:val="10"/>
          <w:szCs w:val="15"/>
        </w:rPr>
        <w:t xml:space="preserve"> guaranteed and is now at risk </w:t>
      </w:r>
      <w:r w:rsidRPr="00132D09">
        <w:rPr>
          <w:rStyle w:val="StyleBoldUnderline"/>
          <w:highlight w:val="yellow"/>
        </w:rPr>
        <w:t>due to Congress’ inaction</w:t>
      </w:r>
      <w:r w:rsidRPr="00132D09">
        <w:rPr>
          <w:rFonts w:ascii="Georgia" w:eastAsia="Times New Roman" w:hAnsi="Georgia"/>
          <w:color w:val="000000"/>
          <w:sz w:val="10"/>
          <w:szCs w:val="15"/>
        </w:rPr>
        <w:t>.</w:t>
      </w:r>
    </w:p>
    <w:p w:rsidR="005F04A2" w:rsidRPr="00132D09" w:rsidRDefault="005F04A2" w:rsidP="005F04A2">
      <w:pPr>
        <w:pStyle w:val="Heading2"/>
      </w:pPr>
      <w:bookmarkStart w:id="4" w:name="_Toc330601433"/>
      <w:r>
        <w:lastRenderedPageBreak/>
        <w:t>Solvency – Wind Solves Econ</w:t>
      </w:r>
      <w:bookmarkEnd w:id="4"/>
    </w:p>
    <w:p w:rsidR="005F04A2" w:rsidRDefault="005F04A2" w:rsidP="005F04A2">
      <w:pPr>
        <w:pStyle w:val="Heading3"/>
      </w:pPr>
      <w:r>
        <w:lastRenderedPageBreak/>
        <w:t>Wind solves for any economic benefit – historical evidence proves</w:t>
      </w:r>
    </w:p>
    <w:p w:rsidR="005F04A2" w:rsidRPr="007F1CFB" w:rsidRDefault="005F04A2" w:rsidP="005F04A2">
      <w:pPr>
        <w:rPr>
          <w:sz w:val="16"/>
        </w:rPr>
      </w:pPr>
      <w:r w:rsidRPr="007F1CFB">
        <w:rPr>
          <w:sz w:val="16"/>
        </w:rPr>
        <w:t xml:space="preserve">David </w:t>
      </w:r>
      <w:r w:rsidRPr="0051589E">
        <w:rPr>
          <w:rStyle w:val="StyleStyleBold12pt"/>
        </w:rPr>
        <w:t>Loom</w:t>
      </w:r>
      <w:r w:rsidRPr="007F1CFB">
        <w:rPr>
          <w:sz w:val="16"/>
        </w:rPr>
        <w:t xml:space="preserve"> is Professor of Economics at Illinois State </w:t>
      </w:r>
      <w:proofErr w:type="gramStart"/>
      <w:r w:rsidRPr="007F1CFB">
        <w:rPr>
          <w:sz w:val="16"/>
        </w:rPr>
        <w:t>University  where</w:t>
      </w:r>
      <w:proofErr w:type="gramEnd"/>
      <w:r w:rsidRPr="007F1CFB">
        <w:rPr>
          <w:sz w:val="16"/>
        </w:rPr>
        <w:t xml:space="preserve"> he teaches in the Master’s Degree program in electricity, natural gas and  telecommunications economics. Dr. Loomis is Director of the Center for Renewable Energy and Executive Director of the Institute for </w:t>
      </w:r>
      <w:proofErr w:type="gramStart"/>
      <w:r w:rsidRPr="007F1CFB">
        <w:rPr>
          <w:sz w:val="16"/>
        </w:rPr>
        <w:t>Regulatory  Policy</w:t>
      </w:r>
      <w:proofErr w:type="gramEnd"/>
      <w:r w:rsidRPr="007F1CFB">
        <w:rPr>
          <w:sz w:val="16"/>
        </w:rPr>
        <w:t xml:space="preserve"> Studies. As part of his duties, he leads the Illinois Wind Working </w:t>
      </w:r>
      <w:proofErr w:type="gramStart"/>
      <w:r w:rsidRPr="007F1CFB">
        <w:rPr>
          <w:sz w:val="16"/>
        </w:rPr>
        <w:t>Group  under</w:t>
      </w:r>
      <w:proofErr w:type="gramEnd"/>
      <w:r w:rsidRPr="007F1CFB">
        <w:rPr>
          <w:sz w:val="16"/>
        </w:rPr>
        <w:t xml:space="preserve"> the U.S. Department of Energy. Dr. Loomis is part of a team of </w:t>
      </w:r>
      <w:proofErr w:type="gramStart"/>
      <w:r w:rsidRPr="007F1CFB">
        <w:rPr>
          <w:sz w:val="16"/>
        </w:rPr>
        <w:t>faculty  that</w:t>
      </w:r>
      <w:proofErr w:type="gramEnd"/>
      <w:r w:rsidRPr="007F1CFB">
        <w:rPr>
          <w:sz w:val="16"/>
        </w:rPr>
        <w:t xml:space="preserve"> has designed a new undergraduate curriculum in renewable energy at  Illinois State University. Dr. Loomis earned his Ph.D. in economics at </w:t>
      </w:r>
      <w:proofErr w:type="gramStart"/>
      <w:r w:rsidRPr="007F1CFB">
        <w:rPr>
          <w:sz w:val="16"/>
        </w:rPr>
        <w:t>Temple  University</w:t>
      </w:r>
      <w:proofErr w:type="gramEnd"/>
      <w:r w:rsidRPr="007F1CFB">
        <w:rPr>
          <w:sz w:val="16"/>
        </w:rPr>
        <w:t xml:space="preserve">. Prior to joining the faculty at Illinois State University, Dr. </w:t>
      </w:r>
      <w:proofErr w:type="gramStart"/>
      <w:r w:rsidRPr="007F1CFB">
        <w:rPr>
          <w:sz w:val="16"/>
        </w:rPr>
        <w:t>Loomis  worked</w:t>
      </w:r>
      <w:proofErr w:type="gramEnd"/>
      <w:r w:rsidRPr="007F1CFB">
        <w:rPr>
          <w:sz w:val="16"/>
        </w:rPr>
        <w:t xml:space="preserve"> at Bell Atlantic (Verizon) for 11 years.</w:t>
      </w:r>
    </w:p>
    <w:p w:rsidR="005F04A2" w:rsidRPr="0051589E" w:rsidRDefault="005F04A2" w:rsidP="005F04A2">
      <w:pPr>
        <w:rPr>
          <w:b/>
          <w:bCs/>
          <w:u w:val="single"/>
        </w:rPr>
      </w:pPr>
      <w:r w:rsidRPr="0051589E">
        <w:rPr>
          <w:rStyle w:val="StyleStyleBold12pt"/>
        </w:rPr>
        <w:t>6-</w:t>
      </w:r>
      <w:proofErr w:type="gramStart"/>
      <w:r w:rsidRPr="0051589E">
        <w:rPr>
          <w:rStyle w:val="StyleStyleBold12pt"/>
        </w:rPr>
        <w:t>2011</w:t>
      </w:r>
      <w:r>
        <w:rPr>
          <w:rStyle w:val="StyleBoldUnderline"/>
        </w:rPr>
        <w:t xml:space="preserve"> </w:t>
      </w:r>
      <w:r w:rsidRPr="007F1CFB">
        <w:t xml:space="preserve"> </w:t>
      </w:r>
      <w:r w:rsidRPr="007F1CFB">
        <w:rPr>
          <w:sz w:val="16"/>
          <w:szCs w:val="16"/>
        </w:rPr>
        <w:t>“</w:t>
      </w:r>
      <w:proofErr w:type="gramEnd"/>
      <w:r w:rsidRPr="007F1CFB">
        <w:rPr>
          <w:sz w:val="16"/>
          <w:szCs w:val="16"/>
        </w:rPr>
        <w:t>economic impact wind energy development in Illinois”   http://renewableenergy.illinoisstate.edu/wind/publications/2011%20FINAL%20Economic%20Impact%20Report.pdf</w:t>
      </w:r>
    </w:p>
    <w:p w:rsidR="005F04A2" w:rsidRDefault="005F04A2" w:rsidP="005F04A2">
      <w:pPr>
        <w:rPr>
          <w:rStyle w:val="StyleBoldUnderline"/>
        </w:rPr>
      </w:pPr>
      <w:r w:rsidRPr="00EE1BAE">
        <w:rPr>
          <w:rStyle w:val="StyleBoldUnderline"/>
          <w:highlight w:val="yellow"/>
        </w:rPr>
        <w:t>According to this economic analysis</w:t>
      </w:r>
      <w:r w:rsidRPr="00EE1BAE">
        <w:rPr>
          <w:sz w:val="12"/>
        </w:rPr>
        <w:t xml:space="preserve"> (see Figure 1), </w:t>
      </w:r>
      <w:r w:rsidRPr="00EE1BAE">
        <w:rPr>
          <w:rStyle w:val="StyleBoldUnderline"/>
          <w:highlight w:val="yellow"/>
        </w:rPr>
        <w:t>the</w:t>
      </w:r>
      <w:r w:rsidRPr="00EE1BAE">
        <w:rPr>
          <w:sz w:val="12"/>
        </w:rPr>
        <w:t xml:space="preserve"> 17 largest </w:t>
      </w:r>
      <w:r w:rsidRPr="00EE1BAE">
        <w:rPr>
          <w:rStyle w:val="StyleBoldUnderline"/>
          <w:highlight w:val="yellow"/>
        </w:rPr>
        <w:t xml:space="preserve">wind </w:t>
      </w:r>
      <w:r w:rsidRPr="00EE1BAE">
        <w:rPr>
          <w:rStyle w:val="StyleBoldUnderline"/>
          <w:sz w:val="12"/>
          <w:highlight w:val="yellow"/>
        </w:rPr>
        <w:t xml:space="preserve"> </w:t>
      </w:r>
      <w:r w:rsidRPr="00EE1BAE">
        <w:rPr>
          <w:rStyle w:val="StyleBoldUnderline"/>
          <w:highlight w:val="yellow"/>
        </w:rPr>
        <w:t>farms in Illinois:</w:t>
      </w:r>
      <w:r w:rsidRPr="00EE1BAE">
        <w:rPr>
          <w:rStyle w:val="StyleBoldUnderline"/>
          <w:sz w:val="12"/>
          <w:highlight w:val="yellow"/>
        </w:rPr>
        <w:t xml:space="preserve"> </w:t>
      </w:r>
      <w:r w:rsidRPr="00EE1BAE">
        <w:rPr>
          <w:rStyle w:val="StyleBoldUnderline"/>
          <w:highlight w:val="yellow"/>
        </w:rPr>
        <w:t>Created approximately 13,323 full-time equivalent jobs</w:t>
      </w:r>
      <w:r>
        <w:rPr>
          <w:rStyle w:val="StyleBoldUnderline"/>
          <w:highlight w:val="yellow"/>
        </w:rPr>
        <w:t xml:space="preserve"> </w:t>
      </w:r>
      <w:r w:rsidRPr="00EE1BAE">
        <w:rPr>
          <w:rStyle w:val="StyleBoldUnderline"/>
          <w:highlight w:val="yellow"/>
        </w:rPr>
        <w:t xml:space="preserve">during </w:t>
      </w:r>
      <w:r w:rsidRPr="00EE1BAE">
        <w:rPr>
          <w:rStyle w:val="StyleBoldUnderline"/>
          <w:sz w:val="12"/>
          <w:highlight w:val="yellow"/>
        </w:rPr>
        <w:t xml:space="preserve"> </w:t>
      </w:r>
      <w:r w:rsidRPr="00EE1BAE">
        <w:rPr>
          <w:rStyle w:val="StyleBoldUnderline"/>
          <w:highlight w:val="yellow"/>
        </w:rPr>
        <w:t>construction periods with a total payroll of over $762 million</w:t>
      </w:r>
      <w:r w:rsidRPr="00EE1BAE">
        <w:rPr>
          <w:rStyle w:val="StyleBoldUnderline"/>
          <w:sz w:val="12"/>
          <w:highlight w:val="yellow"/>
        </w:rPr>
        <w:t xml:space="preserve"> </w:t>
      </w:r>
      <w:r w:rsidRPr="00EE1BAE">
        <w:rPr>
          <w:rStyle w:val="StyleBoldUnderline"/>
          <w:highlight w:val="yellow"/>
        </w:rPr>
        <w:t xml:space="preserve">Supports approximately 598 permanent jobs in rural Illinois areas </w:t>
      </w:r>
      <w:r w:rsidRPr="00EE1BAE">
        <w:rPr>
          <w:rStyle w:val="StyleBoldUnderline"/>
          <w:sz w:val="12"/>
          <w:highlight w:val="yellow"/>
        </w:rPr>
        <w:t xml:space="preserve"> </w:t>
      </w:r>
      <w:r w:rsidRPr="00EE1BAE">
        <w:rPr>
          <w:rStyle w:val="StyleBoldUnderline"/>
          <w:highlight w:val="yellow"/>
        </w:rPr>
        <w:t>with a total annual payroll of over $35 million</w:t>
      </w:r>
      <w:r w:rsidRPr="00EE1BAE">
        <w:rPr>
          <w:sz w:val="12"/>
          <w:highlight w:val="yellow"/>
        </w:rPr>
        <w:t xml:space="preserve"> </w:t>
      </w:r>
      <w:r w:rsidRPr="00EE1BAE">
        <w:rPr>
          <w:rStyle w:val="StyleBoldUnderline"/>
          <w:highlight w:val="yellow"/>
        </w:rPr>
        <w:t xml:space="preserve">Supports local economies by generating $22 million in annual </w:t>
      </w:r>
      <w:r w:rsidRPr="00EE1BAE">
        <w:rPr>
          <w:rStyle w:val="StyleBoldUnderline"/>
          <w:sz w:val="12"/>
          <w:highlight w:val="yellow"/>
        </w:rPr>
        <w:t xml:space="preserve"> </w:t>
      </w:r>
      <w:r w:rsidRPr="00EE1BAE">
        <w:rPr>
          <w:rStyle w:val="StyleBoldUnderline"/>
          <w:highlight w:val="yellow"/>
        </w:rPr>
        <w:t>property taxes</w:t>
      </w:r>
      <w:r w:rsidRPr="00EE1BAE">
        <w:rPr>
          <w:rStyle w:val="StyleBoldUnderline"/>
          <w:sz w:val="12"/>
          <w:highlight w:val="yellow"/>
        </w:rPr>
        <w:t xml:space="preserve"> </w:t>
      </w:r>
      <w:r w:rsidRPr="00EE1BAE">
        <w:rPr>
          <w:rStyle w:val="StyleBoldUnderline"/>
          <w:highlight w:val="yellow"/>
        </w:rPr>
        <w:t xml:space="preserve">Generates $10 million annually in extra income for Illinois </w:t>
      </w:r>
      <w:r w:rsidRPr="00EE1BAE">
        <w:rPr>
          <w:rStyle w:val="StyleBoldUnderline"/>
          <w:sz w:val="12"/>
          <w:highlight w:val="yellow"/>
        </w:rPr>
        <w:t xml:space="preserve"> </w:t>
      </w:r>
      <w:r w:rsidRPr="00EE1BAE">
        <w:rPr>
          <w:rStyle w:val="StyleBoldUnderline"/>
          <w:highlight w:val="yellow"/>
        </w:rPr>
        <w:t>landowners who lease their land to the wind farm developer</w:t>
      </w:r>
      <w:r w:rsidRPr="00EE1BAE">
        <w:rPr>
          <w:rStyle w:val="StyleBoldUnderline"/>
          <w:sz w:val="12"/>
          <w:highlight w:val="yellow"/>
        </w:rPr>
        <w:t xml:space="preserve"> </w:t>
      </w:r>
      <w:r w:rsidRPr="00EE1BAE">
        <w:rPr>
          <w:rStyle w:val="StyleBoldUnderline"/>
          <w:highlight w:val="yellow"/>
        </w:rPr>
        <w:t xml:space="preserve">Will generate a total economic benefit of $4.1 billion over the life </w:t>
      </w:r>
      <w:r w:rsidRPr="00EE1BAE">
        <w:rPr>
          <w:rStyle w:val="StyleBoldUnderline"/>
          <w:sz w:val="12"/>
          <w:highlight w:val="yellow"/>
        </w:rPr>
        <w:t xml:space="preserve"> </w:t>
      </w:r>
      <w:r w:rsidRPr="00EE1BAE">
        <w:rPr>
          <w:rStyle w:val="StyleBoldUnderline"/>
          <w:highlight w:val="yellow"/>
        </w:rPr>
        <w:t>of the projects</w:t>
      </w:r>
    </w:p>
    <w:p w:rsidR="005F04A2" w:rsidRDefault="005F04A2" w:rsidP="005F04A2">
      <w:pPr>
        <w:pStyle w:val="Heading3"/>
      </w:pPr>
      <w:r>
        <w:lastRenderedPageBreak/>
        <w:t xml:space="preserve">Wind solves for any econ- creates “indirect impacts” </w:t>
      </w:r>
    </w:p>
    <w:p w:rsidR="005F04A2" w:rsidRPr="007F1CFB" w:rsidRDefault="005F04A2" w:rsidP="005F04A2">
      <w:pPr>
        <w:rPr>
          <w:sz w:val="16"/>
        </w:rPr>
      </w:pPr>
      <w:r w:rsidRPr="007F1CFB">
        <w:rPr>
          <w:sz w:val="16"/>
        </w:rPr>
        <w:t xml:space="preserve">David </w:t>
      </w:r>
      <w:r w:rsidRPr="0051589E">
        <w:rPr>
          <w:rStyle w:val="StyleStyleBold12pt"/>
        </w:rPr>
        <w:t>Loom</w:t>
      </w:r>
      <w:r w:rsidRPr="007F1CFB">
        <w:rPr>
          <w:sz w:val="16"/>
        </w:rPr>
        <w:t xml:space="preserve"> is Professor of Economics at Illinois State </w:t>
      </w:r>
      <w:proofErr w:type="gramStart"/>
      <w:r w:rsidRPr="007F1CFB">
        <w:rPr>
          <w:sz w:val="16"/>
        </w:rPr>
        <w:t>University  where</w:t>
      </w:r>
      <w:proofErr w:type="gramEnd"/>
      <w:r w:rsidRPr="007F1CFB">
        <w:rPr>
          <w:sz w:val="16"/>
        </w:rPr>
        <w:t xml:space="preserve"> he teaches in the Master’s Degree program in electricity, natural gas and  telecommunications economics. Dr. Loomis is Director of the Center for Renewable Energy and Executive Director of the Institute for </w:t>
      </w:r>
      <w:proofErr w:type="gramStart"/>
      <w:r w:rsidRPr="007F1CFB">
        <w:rPr>
          <w:sz w:val="16"/>
        </w:rPr>
        <w:t>Regulatory  Policy</w:t>
      </w:r>
      <w:proofErr w:type="gramEnd"/>
      <w:r w:rsidRPr="007F1CFB">
        <w:rPr>
          <w:sz w:val="16"/>
        </w:rPr>
        <w:t xml:space="preserve"> Studies. As part of his duties, he leads the Illinois Wind Working </w:t>
      </w:r>
      <w:proofErr w:type="gramStart"/>
      <w:r w:rsidRPr="007F1CFB">
        <w:rPr>
          <w:sz w:val="16"/>
        </w:rPr>
        <w:t>Group  under</w:t>
      </w:r>
      <w:proofErr w:type="gramEnd"/>
      <w:r w:rsidRPr="007F1CFB">
        <w:rPr>
          <w:sz w:val="16"/>
        </w:rPr>
        <w:t xml:space="preserve"> the U.S. Department of Energy. Dr. Loomis is part of a team of </w:t>
      </w:r>
      <w:proofErr w:type="gramStart"/>
      <w:r w:rsidRPr="007F1CFB">
        <w:rPr>
          <w:sz w:val="16"/>
        </w:rPr>
        <w:t>faculty  that</w:t>
      </w:r>
      <w:proofErr w:type="gramEnd"/>
      <w:r w:rsidRPr="007F1CFB">
        <w:rPr>
          <w:sz w:val="16"/>
        </w:rPr>
        <w:t xml:space="preserve"> has designed a new undergraduate curriculum in renewable energy at  Illinois State University. Dr. Loomis earned his Ph.D. in economics at </w:t>
      </w:r>
      <w:proofErr w:type="gramStart"/>
      <w:r w:rsidRPr="007F1CFB">
        <w:rPr>
          <w:sz w:val="16"/>
        </w:rPr>
        <w:t>Temple  University</w:t>
      </w:r>
      <w:proofErr w:type="gramEnd"/>
      <w:r w:rsidRPr="007F1CFB">
        <w:rPr>
          <w:sz w:val="16"/>
        </w:rPr>
        <w:t xml:space="preserve">. Prior to joining the faculty at Illinois State University, Dr. </w:t>
      </w:r>
      <w:proofErr w:type="gramStart"/>
      <w:r w:rsidRPr="007F1CFB">
        <w:rPr>
          <w:sz w:val="16"/>
        </w:rPr>
        <w:t>Loomis  worked</w:t>
      </w:r>
      <w:proofErr w:type="gramEnd"/>
      <w:r w:rsidRPr="007F1CFB">
        <w:rPr>
          <w:sz w:val="16"/>
        </w:rPr>
        <w:t xml:space="preserve"> at Bell Atlantic (Verizon) for 11 years.</w:t>
      </w:r>
    </w:p>
    <w:p w:rsidR="005F04A2" w:rsidRPr="0051589E" w:rsidRDefault="005F04A2" w:rsidP="005F04A2">
      <w:pPr>
        <w:rPr>
          <w:rStyle w:val="StyleBoldUnderline"/>
        </w:rPr>
      </w:pPr>
      <w:r w:rsidRPr="0051589E">
        <w:rPr>
          <w:rStyle w:val="StyleStyleBold12pt"/>
        </w:rPr>
        <w:t>6-</w:t>
      </w:r>
      <w:proofErr w:type="gramStart"/>
      <w:r w:rsidRPr="0051589E">
        <w:rPr>
          <w:rStyle w:val="StyleStyleBold12pt"/>
        </w:rPr>
        <w:t>2011</w:t>
      </w:r>
      <w:r>
        <w:rPr>
          <w:rStyle w:val="StyleBoldUnderline"/>
        </w:rPr>
        <w:t xml:space="preserve"> </w:t>
      </w:r>
      <w:r w:rsidRPr="007F1CFB">
        <w:t xml:space="preserve"> </w:t>
      </w:r>
      <w:r w:rsidRPr="007F1CFB">
        <w:rPr>
          <w:sz w:val="16"/>
          <w:szCs w:val="16"/>
        </w:rPr>
        <w:t>“</w:t>
      </w:r>
      <w:proofErr w:type="gramEnd"/>
      <w:r w:rsidRPr="007F1CFB">
        <w:rPr>
          <w:sz w:val="16"/>
          <w:szCs w:val="16"/>
        </w:rPr>
        <w:t>economic impact wind energy development in Illinois”   http://renewableenergy.illinoisstate.edu/wind/publications/2011%20FINAL%20Economic%20Impact%20Report.pdf</w:t>
      </w:r>
    </w:p>
    <w:p w:rsidR="005F04A2" w:rsidRDefault="005F04A2" w:rsidP="005F04A2">
      <w:pPr>
        <w:rPr>
          <w:rStyle w:val="StyleBoldUnderline"/>
          <w:sz w:val="16"/>
        </w:rPr>
      </w:pPr>
      <w:r w:rsidRPr="00D95DB3">
        <w:rPr>
          <w:rStyle w:val="StyleBoldUnderline"/>
          <w:sz w:val="16"/>
        </w:rPr>
        <w:t xml:space="preserve">The initial spending on the construction and operation of the wind </w:t>
      </w:r>
      <w:proofErr w:type="gramStart"/>
      <w:r w:rsidRPr="00D95DB3">
        <w:rPr>
          <w:rStyle w:val="StyleBoldUnderline"/>
          <w:sz w:val="16"/>
        </w:rPr>
        <w:t>farm  creates</w:t>
      </w:r>
      <w:proofErr w:type="gramEnd"/>
      <w:r w:rsidRPr="00D95DB3">
        <w:rPr>
          <w:rStyle w:val="StyleBoldUnderline"/>
          <w:sz w:val="16"/>
        </w:rPr>
        <w:t xml:space="preserve"> a second layer of impacts, referred to as “turbine and supply chain  impacts” or “</w:t>
      </w:r>
      <w:r w:rsidRPr="003A3A46">
        <w:rPr>
          <w:rStyle w:val="StyleBoldUnderline"/>
          <w:highlight w:val="yellow"/>
        </w:rPr>
        <w:t>indirect impacts</w:t>
      </w:r>
      <w:r w:rsidRPr="00D95DB3">
        <w:rPr>
          <w:rStyle w:val="StyleBoldUnderline"/>
          <w:sz w:val="16"/>
        </w:rPr>
        <w:t xml:space="preserve">.” Indirect impacts during construction </w:t>
      </w:r>
      <w:proofErr w:type="gramStart"/>
      <w:r w:rsidRPr="00D95DB3">
        <w:rPr>
          <w:rStyle w:val="StyleBoldUnderline"/>
          <w:sz w:val="16"/>
        </w:rPr>
        <w:t xml:space="preserve">period  </w:t>
      </w:r>
      <w:r w:rsidRPr="003A3A46">
        <w:rPr>
          <w:rStyle w:val="StyleBoldUnderline"/>
          <w:highlight w:val="yellow"/>
        </w:rPr>
        <w:t>consist</w:t>
      </w:r>
      <w:proofErr w:type="gramEnd"/>
      <w:r w:rsidRPr="003A3A46">
        <w:rPr>
          <w:rStyle w:val="StyleBoldUnderline"/>
          <w:highlight w:val="yellow"/>
        </w:rPr>
        <w:t xml:space="preserve"> of the changes in inter-industry purchases resulting from the direct  final demand changes, and include construction spending on materials</w:t>
      </w:r>
      <w:r w:rsidRPr="003A3A46">
        <w:rPr>
          <w:rStyle w:val="StyleBoldUnderline"/>
        </w:rPr>
        <w:t xml:space="preserve"> </w:t>
      </w:r>
      <w:r w:rsidRPr="00D95DB3">
        <w:rPr>
          <w:rStyle w:val="StyleBoldUnderline"/>
          <w:sz w:val="16"/>
        </w:rPr>
        <w:t>and  wind farm equipment and other purchases of goods and offsite services.  Essentially, these impacts result from “</w:t>
      </w:r>
      <w:r w:rsidRPr="003A3A46">
        <w:rPr>
          <w:rStyle w:val="StyleBoldUnderline"/>
          <w:highlight w:val="yellow"/>
        </w:rPr>
        <w:t>spending related to project  development and on-site labor such as equipment costs (turbines, blades,  towers, transportation), manufacturing of components and supply chain  inputs, materials (transformer, electrical, HV line extension, HV  sub-interconnection materials), and the supply chain of inputs required to  produce these materials”</w:t>
      </w:r>
      <w:r w:rsidRPr="00D95DB3">
        <w:rPr>
          <w:rStyle w:val="StyleBoldUnderline"/>
          <w:sz w:val="16"/>
        </w:rPr>
        <w:t xml:space="preserve"> (JEDI Support Team, 2009, 2). </w:t>
      </w:r>
      <w:r w:rsidRPr="003A3A46">
        <w:rPr>
          <w:rStyle w:val="StyleBoldUnderline"/>
          <w:highlight w:val="yellow"/>
        </w:rPr>
        <w:t xml:space="preserve">Concrete that is </w:t>
      </w:r>
      <w:proofErr w:type="gramStart"/>
      <w:r w:rsidRPr="003A3A46">
        <w:rPr>
          <w:rStyle w:val="StyleBoldUnderline"/>
          <w:highlight w:val="yellow"/>
        </w:rPr>
        <w:t>used  in</w:t>
      </w:r>
      <w:proofErr w:type="gramEnd"/>
      <w:r w:rsidRPr="003A3A46">
        <w:rPr>
          <w:rStyle w:val="StyleBoldUnderline"/>
          <w:highlight w:val="yellow"/>
        </w:rPr>
        <w:t xml:space="preserve"> turbine foundations, increases the demand for gravel, sand, and cement. </w:t>
      </w:r>
      <w:proofErr w:type="gramStart"/>
      <w:r w:rsidRPr="003A3A46">
        <w:rPr>
          <w:rStyle w:val="StyleBoldUnderline"/>
          <w:highlight w:val="yellow"/>
        </w:rPr>
        <w:t>As  a</w:t>
      </w:r>
      <w:proofErr w:type="gramEnd"/>
      <w:r w:rsidRPr="003A3A46">
        <w:rPr>
          <w:rStyle w:val="StyleBoldUnderline"/>
          <w:highlight w:val="yellow"/>
        </w:rPr>
        <w:t xml:space="preserve"> result of an expenditure for concrete there is </w:t>
      </w:r>
      <w:r w:rsidRPr="003A3A46">
        <w:rPr>
          <w:rStyle w:val="Emphasis"/>
          <w:highlight w:val="yellow"/>
        </w:rPr>
        <w:t>increased economic activity</w:t>
      </w:r>
      <w:r w:rsidRPr="00D95DB3">
        <w:rPr>
          <w:rStyle w:val="StyleBoldUnderline"/>
          <w:sz w:val="16"/>
        </w:rPr>
        <w:t xml:space="preserve"> at  quarries and cement factories and these changes are indirect impacts. </w:t>
      </w:r>
      <w:proofErr w:type="gramStart"/>
      <w:r w:rsidRPr="00D95DB3">
        <w:rPr>
          <w:rStyle w:val="StyleBoldUnderline"/>
          <w:sz w:val="16"/>
        </w:rPr>
        <w:t>The  accountant</w:t>
      </w:r>
      <w:proofErr w:type="gramEnd"/>
      <w:r w:rsidRPr="00D95DB3">
        <w:rPr>
          <w:rStyle w:val="StyleBoldUnderline"/>
          <w:sz w:val="16"/>
        </w:rPr>
        <w:t xml:space="preserve"> for the construction firm and the banker who finances the  contractor are both considered indirect impacts. All supply chain </w:t>
      </w:r>
      <w:proofErr w:type="gramStart"/>
      <w:r w:rsidRPr="00D95DB3">
        <w:rPr>
          <w:rStyle w:val="StyleBoldUnderline"/>
          <w:sz w:val="16"/>
        </w:rPr>
        <w:t>component  impacts</w:t>
      </w:r>
      <w:proofErr w:type="gramEnd"/>
      <w:r w:rsidRPr="00D95DB3">
        <w:rPr>
          <w:rStyle w:val="StyleBoldUnderline"/>
          <w:sz w:val="16"/>
        </w:rPr>
        <w:t>/manufacturing-related activities are included under indirect impacts;  therefore, the late stage turbine assembly process, which includes gearbox  assembly, blade production, and steel rolling are all included under the  construction period indirect impacts category</w:t>
      </w:r>
    </w:p>
    <w:p w:rsidR="005F04A2" w:rsidRPr="0051589E" w:rsidRDefault="005F04A2" w:rsidP="005F04A2">
      <w:pPr>
        <w:pStyle w:val="Heading2"/>
      </w:pPr>
      <w:bookmarkStart w:id="5" w:name="_Toc330601434"/>
      <w:r>
        <w:lastRenderedPageBreak/>
        <w:t xml:space="preserve">Solvency – HSR </w:t>
      </w:r>
      <w:proofErr w:type="spellStart"/>
      <w:r>
        <w:t>Aff</w:t>
      </w:r>
      <w:bookmarkEnd w:id="5"/>
      <w:proofErr w:type="spellEnd"/>
    </w:p>
    <w:p w:rsidR="005F04A2" w:rsidRPr="00330966" w:rsidRDefault="005F04A2" w:rsidP="005F04A2">
      <w:pPr>
        <w:pStyle w:val="Heading3"/>
      </w:pPr>
      <w:r w:rsidRPr="00330966">
        <w:lastRenderedPageBreak/>
        <w:t xml:space="preserve">CP </w:t>
      </w:r>
      <w:r>
        <w:t xml:space="preserve">not only </w:t>
      </w:r>
      <w:r w:rsidRPr="00330966">
        <w:t>solves comparative</w:t>
      </w:r>
      <w:r>
        <w:t>ly better than High Speed Rail by avoiding</w:t>
      </w:r>
      <w:r w:rsidRPr="00330966">
        <w:t xml:space="preserve"> fossil fuel dependency</w:t>
      </w:r>
      <w:r>
        <w:t xml:space="preserve">, but also is a prerequisite to the </w:t>
      </w:r>
      <w:proofErr w:type="spellStart"/>
      <w:r>
        <w:t>affs</w:t>
      </w:r>
      <w:proofErr w:type="spellEnd"/>
      <w:r>
        <w:t xml:space="preserve"> oil dependency advantage as the electricity for the train in the SQ will be made by fossil </w:t>
      </w:r>
      <w:proofErr w:type="spellStart"/>
      <w:r>
        <w:t>fules</w:t>
      </w:r>
      <w:proofErr w:type="spellEnd"/>
      <w:r>
        <w:t xml:space="preserve"> not alt energy like the CP.</w:t>
      </w:r>
    </w:p>
    <w:p w:rsidR="005F04A2" w:rsidRPr="00330966" w:rsidRDefault="005F04A2" w:rsidP="005F04A2">
      <w:r w:rsidRPr="00024E85">
        <w:rPr>
          <w:bCs/>
          <w:sz w:val="16"/>
          <w:szCs w:val="16"/>
        </w:rPr>
        <w:t xml:space="preserve">Tony </w:t>
      </w:r>
      <w:r w:rsidRPr="00330966">
        <w:rPr>
          <w:rStyle w:val="StyleStyleBold12pt"/>
        </w:rPr>
        <w:t xml:space="preserve">Bosworth. </w:t>
      </w:r>
      <w:proofErr w:type="gramStart"/>
      <w:r w:rsidRPr="00024E85">
        <w:rPr>
          <w:sz w:val="16"/>
          <w:szCs w:val="16"/>
        </w:rPr>
        <w:t>Campaigner for Friends of the Earth.</w:t>
      </w:r>
      <w:proofErr w:type="gramEnd"/>
      <w:r w:rsidRPr="00024E85">
        <w:rPr>
          <w:sz w:val="16"/>
          <w:szCs w:val="16"/>
        </w:rPr>
        <w:t xml:space="preserve"> 20</w:t>
      </w:r>
      <w:r w:rsidRPr="00330966">
        <w:rPr>
          <w:rStyle w:val="StyleStyleBold12pt"/>
        </w:rPr>
        <w:t>11</w:t>
      </w:r>
      <w:r w:rsidRPr="00024E85">
        <w:rPr>
          <w:sz w:val="16"/>
          <w:szCs w:val="16"/>
        </w:rPr>
        <w:t>. .http://www.cnn.com/2011/11/18/world/how-green-is-hsr/index.html</w:t>
      </w:r>
      <w:r>
        <w:t xml:space="preserve">  </w:t>
      </w:r>
    </w:p>
    <w:p w:rsidR="005F04A2" w:rsidRPr="00330966" w:rsidRDefault="005F04A2" w:rsidP="005F04A2"/>
    <w:p w:rsidR="005F04A2" w:rsidRDefault="005F04A2" w:rsidP="005F04A2">
      <w:pPr>
        <w:rPr>
          <w:bCs/>
          <w:sz w:val="16"/>
        </w:rPr>
      </w:pPr>
      <w:r w:rsidRPr="003C6F3B">
        <w:rPr>
          <w:sz w:val="16"/>
        </w:rPr>
        <w:t xml:space="preserve">Across the world governments are looking to high speed rail to provide fast, modern transport systems fit for the 21st century. By the end of 2012 China is expected to have more high speed rail lines than the rest of the world combined, while President Obama aims to give 80 per cent of Americans access to fast rail travel within 25 years. </w:t>
      </w:r>
      <w:r w:rsidRPr="00330966">
        <w:rPr>
          <w:rStyle w:val="StyleBoldUnderline"/>
        </w:rPr>
        <w:t xml:space="preserve">But if governments want </w:t>
      </w:r>
      <w:r w:rsidRPr="00325EB2">
        <w:rPr>
          <w:rStyle w:val="StyleBoldUnderline"/>
          <w:highlight w:val="yellow"/>
        </w:rPr>
        <w:t>high speed rail</w:t>
      </w:r>
      <w:r w:rsidRPr="00330966">
        <w:rPr>
          <w:rStyle w:val="StyleBoldUnderline"/>
        </w:rPr>
        <w:t xml:space="preserve"> to spearhead the drive towards a cleaner transport system they must look further than simply providing faster trains</w:t>
      </w:r>
      <w:r w:rsidRPr="003C6F3B">
        <w:rPr>
          <w:sz w:val="16"/>
        </w:rPr>
        <w:t xml:space="preserve">. </w:t>
      </w:r>
      <w:r w:rsidRPr="00330966">
        <w:rPr>
          <w:rStyle w:val="StyleBoldUnderline"/>
        </w:rPr>
        <w:t xml:space="preserve">The UK is currently mulling over a high speed rail link </w:t>
      </w:r>
      <w:r w:rsidRPr="003C6F3B">
        <w:rPr>
          <w:sz w:val="16"/>
        </w:rPr>
        <w:t xml:space="preserve">between London and Birmingham, a city about 160 kilometers north-west of the capital. </w:t>
      </w:r>
      <w:r w:rsidRPr="00330966">
        <w:rPr>
          <w:rStyle w:val="StyleBoldUnderline"/>
        </w:rPr>
        <w:t xml:space="preserve">But </w:t>
      </w:r>
      <w:r w:rsidRPr="00325EB2">
        <w:rPr>
          <w:rStyle w:val="StyleBoldUnderline"/>
          <w:highlight w:val="yellow"/>
        </w:rPr>
        <w:t>according to official estimates, it's unlikely to lead to significant carbon dioxide cuts -- and may even increase climate-changing emissions.</w:t>
      </w:r>
      <w:r w:rsidRPr="00330966">
        <w:rPr>
          <w:rStyle w:val="StyleBoldUnderline"/>
        </w:rPr>
        <w:t xml:space="preserve"> </w:t>
      </w:r>
      <w:r w:rsidRPr="003C6F3B">
        <w:rPr>
          <w:sz w:val="16"/>
        </w:rPr>
        <w:t xml:space="preserve">So what's stopping high speed rail being a major part of a greener transport future in Britain? </w:t>
      </w:r>
      <w:r w:rsidRPr="00325EB2">
        <w:rPr>
          <w:rStyle w:val="Emphasis"/>
          <w:highlight w:val="yellow"/>
        </w:rPr>
        <w:t>Over two thirds of the world's electricity comes from fossil fuels</w:t>
      </w:r>
      <w:r w:rsidRPr="00325EB2">
        <w:rPr>
          <w:rStyle w:val="StyleBoldUnderline"/>
          <w:highlight w:val="yellow"/>
        </w:rPr>
        <w:t xml:space="preserve"> so until (or unless) power stations are weaned off fossil fuels, </w:t>
      </w:r>
      <w:r w:rsidRPr="00325EB2">
        <w:rPr>
          <w:rStyle w:val="Emphasis"/>
          <w:highlight w:val="yellow"/>
        </w:rPr>
        <w:t>electric trains will still have a significant climate impact.</w:t>
      </w:r>
      <w:r w:rsidRPr="003C6F3B">
        <w:rPr>
          <w:sz w:val="16"/>
        </w:rPr>
        <w:t xml:space="preserve"> Tony Bosworth </w:t>
      </w:r>
      <w:r w:rsidRPr="00330966">
        <w:rPr>
          <w:rStyle w:val="StyleBoldUnderline"/>
        </w:rPr>
        <w:t xml:space="preserve">First there's the electricity to power the trains. </w:t>
      </w:r>
      <w:r w:rsidRPr="00325EB2">
        <w:rPr>
          <w:rStyle w:val="Emphasis"/>
          <w:highlight w:val="yellow"/>
        </w:rPr>
        <w:t>Over two thirds of the world's electricity comes from fossil fuels</w:t>
      </w:r>
      <w:r w:rsidRPr="00325EB2">
        <w:rPr>
          <w:rStyle w:val="Emphasis"/>
        </w:rPr>
        <w:t xml:space="preserve"> </w:t>
      </w:r>
      <w:r w:rsidRPr="003C6F3B">
        <w:rPr>
          <w:sz w:val="16"/>
        </w:rPr>
        <w:t xml:space="preserve">so until (or unless) power stations are weaned off fossil fuels, electric trains will still have a significant climate impact -- although rail travel is still better than flying or driving. </w:t>
      </w:r>
      <w:r w:rsidRPr="00330966">
        <w:rPr>
          <w:rStyle w:val="StyleBoldUnderline"/>
        </w:rPr>
        <w:t>Secondly</w:t>
      </w:r>
      <w:r w:rsidRPr="003C6F3B">
        <w:rPr>
          <w:bCs/>
          <w:sz w:val="16"/>
        </w:rPr>
        <w:t>, will high speed rail entice people off the roads and short-haul flights</w:t>
      </w:r>
      <w:r w:rsidRPr="003C6F3B">
        <w:rPr>
          <w:sz w:val="16"/>
        </w:rPr>
        <w:t xml:space="preserve">? French TGVs and the Channel Tunnel rail link have succeeded, but </w:t>
      </w:r>
      <w:r w:rsidRPr="00330966">
        <w:rPr>
          <w:rStyle w:val="StyleBoldUnderline"/>
        </w:rPr>
        <w:t>official calculations estimate that only 16 per cent of anticipated passengers</w:t>
      </w:r>
      <w:r w:rsidRPr="003C6F3B">
        <w:rPr>
          <w:sz w:val="16"/>
        </w:rPr>
        <w:t xml:space="preserve"> for the London to Birmingham line</w:t>
      </w:r>
      <w:r w:rsidRPr="00330966">
        <w:rPr>
          <w:rStyle w:val="StyleBoldUnderline"/>
        </w:rPr>
        <w:t xml:space="preserve"> will have swapped from planes or cars</w:t>
      </w:r>
      <w:r w:rsidRPr="003C6F3B">
        <w:rPr>
          <w:sz w:val="16"/>
        </w:rPr>
        <w:t xml:space="preserve">. One </w:t>
      </w:r>
      <w:r w:rsidRPr="003C6F3B">
        <w:rPr>
          <w:bCs/>
          <w:sz w:val="16"/>
        </w:rPr>
        <w:t>of the main factors is cost.</w:t>
      </w:r>
      <w:r w:rsidRPr="00330966">
        <w:rPr>
          <w:rStyle w:val="StyleBoldUnderline"/>
        </w:rPr>
        <w:t xml:space="preserve"> Despite soaring fuel prices, motoring and flying are still expected to be cheaper than high speed rail.</w:t>
      </w:r>
      <w:r w:rsidRPr="003C6F3B">
        <w:rPr>
          <w:sz w:val="16"/>
        </w:rPr>
        <w:t xml:space="preserve"> If faster rail travel is to become a realistic alternative it must be affordable too. </w:t>
      </w:r>
      <w:r w:rsidRPr="00325EB2">
        <w:rPr>
          <w:rStyle w:val="StyleBoldUnderline"/>
          <w:highlight w:val="yellow"/>
        </w:rPr>
        <w:t>The UK's high speed rail link is expected to cost a whopping $54 billion</w:t>
      </w:r>
      <w:r w:rsidRPr="00330966">
        <w:rPr>
          <w:rStyle w:val="StyleBoldUnderline"/>
        </w:rPr>
        <w:t>.</w:t>
      </w:r>
      <w:r w:rsidRPr="003C6F3B">
        <w:rPr>
          <w:sz w:val="16"/>
        </w:rPr>
        <w:t xml:space="preserve"> </w:t>
      </w:r>
      <w:r w:rsidRPr="003C6F3B">
        <w:rPr>
          <w:bCs/>
          <w:sz w:val="16"/>
        </w:rPr>
        <w:t>But living as we do in cash-strapped times there's surely a strong case for investing some of that that money in less grandiose, but more effective, projects.</w:t>
      </w:r>
    </w:p>
    <w:p w:rsidR="005F04A2" w:rsidRPr="00330966" w:rsidRDefault="005F04A2" w:rsidP="005F04A2">
      <w:pPr>
        <w:rPr>
          <w:rStyle w:val="StyleBoldUnderline"/>
        </w:rPr>
      </w:pPr>
    </w:p>
    <w:p w:rsidR="005F04A2" w:rsidRPr="0051589E" w:rsidRDefault="005F04A2" w:rsidP="005F04A2">
      <w:pPr>
        <w:pStyle w:val="Heading2"/>
      </w:pPr>
      <w:bookmarkStart w:id="6" w:name="_Toc330601435"/>
      <w:r w:rsidRPr="0051589E">
        <w:lastRenderedPageBreak/>
        <w:t xml:space="preserve">Current oil dependency is high and not enough in </w:t>
      </w:r>
      <w:proofErr w:type="spellStart"/>
      <w:r w:rsidRPr="0051589E">
        <w:t>U.s.</w:t>
      </w:r>
      <w:bookmarkEnd w:id="6"/>
      <w:proofErr w:type="spellEnd"/>
    </w:p>
    <w:p w:rsidR="005F04A2" w:rsidRDefault="005F04A2" w:rsidP="005F04A2">
      <w:pPr>
        <w:pStyle w:val="Heading3"/>
      </w:pPr>
      <w:r>
        <w:lastRenderedPageBreak/>
        <w:t>The United States of America still imports 400 million gallons of oil a day.</w:t>
      </w:r>
    </w:p>
    <w:p w:rsidR="005F04A2" w:rsidRPr="00DB0044" w:rsidRDefault="005F04A2" w:rsidP="005F04A2">
      <w:pPr>
        <w:rPr>
          <w:rFonts w:ascii="Verdana" w:hAnsi="Verdana"/>
          <w:color w:val="333333"/>
          <w:sz w:val="14"/>
          <w:szCs w:val="18"/>
          <w:shd w:val="clear" w:color="auto" w:fill="FFFFFF"/>
        </w:rPr>
      </w:pPr>
      <w:r w:rsidRPr="00DB0044">
        <w:rPr>
          <w:rStyle w:val="StyleStyleBold12pt"/>
        </w:rPr>
        <w:t>ASP</w:t>
      </w:r>
      <w:r w:rsidRPr="00DB0044">
        <w:rPr>
          <w:rStyle w:val="StyleStyleBold12pt"/>
          <w:sz w:val="14"/>
        </w:rPr>
        <w:t xml:space="preserve"> </w:t>
      </w:r>
      <w:r w:rsidRPr="00DB0044">
        <w:rPr>
          <w:rFonts w:ascii="Verdana" w:hAnsi="Verdana"/>
          <w:color w:val="333333"/>
          <w:sz w:val="14"/>
          <w:szCs w:val="18"/>
          <w:shd w:val="clear" w:color="auto" w:fill="FFFFFF"/>
        </w:rPr>
        <w:t xml:space="preserve">has been working to protect communities, wild places, and the planet itself. </w:t>
      </w:r>
      <w:proofErr w:type="gramStart"/>
      <w:r w:rsidRPr="00DB0044">
        <w:rPr>
          <w:rFonts w:ascii="Verdana" w:hAnsi="Verdana"/>
          <w:color w:val="333333"/>
          <w:sz w:val="14"/>
          <w:szCs w:val="18"/>
          <w:shd w:val="clear" w:color="auto" w:fill="FFFFFF"/>
        </w:rPr>
        <w:t>The largest and most influential grassroots environmental organization in the United States.</w:t>
      </w:r>
      <w:proofErr w:type="gramEnd"/>
      <w:r w:rsidRPr="00DB0044">
        <w:rPr>
          <w:rFonts w:ascii="Verdana" w:hAnsi="Verdana"/>
          <w:color w:val="333333"/>
          <w:sz w:val="14"/>
          <w:szCs w:val="18"/>
          <w:shd w:val="clear" w:color="auto" w:fill="FFFFFF"/>
        </w:rPr>
        <w:t xml:space="preserve"> And our founder, John Muir, appears on the back of the California quarter.  </w:t>
      </w:r>
      <w:proofErr w:type="gramStart"/>
      <w:r w:rsidRPr="00DB0044">
        <w:rPr>
          <w:rStyle w:val="StyleStyleBold12pt"/>
        </w:rPr>
        <w:t>2012</w:t>
      </w:r>
      <w:r w:rsidRPr="00DB0044">
        <w:rPr>
          <w:rFonts w:ascii="Verdana" w:hAnsi="Verdana"/>
          <w:color w:val="333333"/>
          <w:sz w:val="14"/>
          <w:szCs w:val="18"/>
          <w:shd w:val="clear" w:color="auto" w:fill="FFFFFF"/>
        </w:rPr>
        <w:t xml:space="preserve">  “</w:t>
      </w:r>
      <w:proofErr w:type="gramEnd"/>
      <w:r w:rsidRPr="00DB0044">
        <w:rPr>
          <w:rFonts w:ascii="Verdana" w:hAnsi="Verdana"/>
          <w:color w:val="333333"/>
          <w:sz w:val="14"/>
          <w:szCs w:val="18"/>
          <w:shd w:val="clear" w:color="auto" w:fill="FFFFFF"/>
        </w:rPr>
        <w:t>Ending Our Dependence On Oil”</w:t>
      </w:r>
    </w:p>
    <w:p w:rsidR="005F04A2" w:rsidRPr="00DB0044" w:rsidRDefault="005F04A2" w:rsidP="005F04A2">
      <w:pPr>
        <w:rPr>
          <w:rStyle w:val="StyleStyleBold12pt"/>
          <w:sz w:val="10"/>
          <w:szCs w:val="10"/>
        </w:rPr>
      </w:pPr>
      <w:hyperlink r:id="rId11" w:history="1">
        <w:r w:rsidRPr="00DB0044">
          <w:rPr>
            <w:rStyle w:val="Hyperlink"/>
            <w:sz w:val="10"/>
            <w:szCs w:val="10"/>
          </w:rPr>
          <w:t>http://action.sierraclub.org/site/PageNavigator/adv_eodo</w:t>
        </w:r>
      </w:hyperlink>
    </w:p>
    <w:p w:rsidR="005F04A2" w:rsidRDefault="005F04A2" w:rsidP="005F04A2"/>
    <w:p w:rsidR="005F04A2" w:rsidRDefault="005F04A2" w:rsidP="005F04A2">
      <w:r>
        <w:t xml:space="preserve">TRANSPORTATION: </w:t>
      </w:r>
    </w:p>
    <w:p w:rsidR="005F04A2" w:rsidRPr="0051589E" w:rsidRDefault="005F04A2" w:rsidP="005F04A2">
      <w:pPr>
        <w:rPr>
          <w:sz w:val="14"/>
        </w:rPr>
      </w:pPr>
      <w:r w:rsidRPr="00431D8A">
        <w:rPr>
          <w:rStyle w:val="StyleBoldUnderline"/>
          <w:highlight w:val="yellow"/>
        </w:rPr>
        <w:t>The U.S. uses nearly 400 million gallons of oil every day moving people in automobiles, goods on freight truck, air travel, rail and transit.  Cars and light trucks use nine million barrels of oil per day</w:t>
      </w:r>
      <w:r w:rsidRPr="00D95DB3">
        <w:rPr>
          <w:sz w:val="14"/>
        </w:rPr>
        <w:t xml:space="preserve">. Of all the oil used in the United States, </w:t>
      </w:r>
      <w:r w:rsidRPr="00431D8A">
        <w:rPr>
          <w:rStyle w:val="StyleBoldUnderline"/>
          <w:highlight w:val="yellow"/>
        </w:rPr>
        <w:t>70% is consumed by transportation</w:t>
      </w:r>
      <w:r w:rsidRPr="00D95DB3">
        <w:rPr>
          <w:sz w:val="14"/>
        </w:rPr>
        <w:t xml:space="preserve"> ECONOMIC SECURITY:  </w:t>
      </w:r>
      <w:r w:rsidRPr="00431D8A">
        <w:rPr>
          <w:rStyle w:val="StyleBoldUnderline"/>
          <w:highlight w:val="yellow"/>
        </w:rPr>
        <w:t>Americans send over $1 billion abroad every day to pay for oil.  The result is lost jobs and increasing dollars in the hands of foreigners who we increasingly rely upon to finance our deficits.</w:t>
      </w:r>
      <w:r w:rsidRPr="00D95DB3">
        <w:rPr>
          <w:sz w:val="14"/>
        </w:rPr>
        <w:t xml:space="preserve">  The U.S. borrows money from the Chinese to buy oil from the Saudis, causing greater national debt and dependence on the goodwill of others to allow its economy to </w:t>
      </w:r>
      <w:proofErr w:type="gramStart"/>
      <w:r w:rsidRPr="00D95DB3">
        <w:rPr>
          <w:sz w:val="14"/>
        </w:rPr>
        <w:t>function .</w:t>
      </w:r>
      <w:proofErr w:type="gramEnd"/>
    </w:p>
    <w:p w:rsidR="005F04A2" w:rsidRDefault="005F04A2" w:rsidP="005F04A2">
      <w:pPr>
        <w:pStyle w:val="Heading3"/>
      </w:pPr>
      <w:r>
        <w:lastRenderedPageBreak/>
        <w:t>Absent a new counter-plan – U.S. oil dependency can rise up to 60 % in the low case scenario</w:t>
      </w:r>
    </w:p>
    <w:p w:rsidR="005F04A2" w:rsidRPr="001F042E" w:rsidRDefault="005F04A2" w:rsidP="005F04A2">
      <w:pPr>
        <w:rPr>
          <w:sz w:val="14"/>
        </w:rPr>
      </w:pPr>
      <w:r w:rsidRPr="001F042E">
        <w:rPr>
          <w:sz w:val="14"/>
        </w:rPr>
        <w:t xml:space="preserve"> Anthony H. </w:t>
      </w:r>
      <w:proofErr w:type="spellStart"/>
      <w:r w:rsidRPr="001F042E">
        <w:rPr>
          <w:rStyle w:val="StyleStyleBold12pt"/>
        </w:rPr>
        <w:t>Cordesman</w:t>
      </w:r>
      <w:proofErr w:type="spellEnd"/>
      <w:r w:rsidRPr="001F042E">
        <w:rPr>
          <w:sz w:val="14"/>
        </w:rPr>
        <w:t xml:space="preserve"> he holds the </w:t>
      </w:r>
      <w:proofErr w:type="spellStart"/>
      <w:r w:rsidRPr="001F042E">
        <w:rPr>
          <w:sz w:val="14"/>
        </w:rPr>
        <w:t>Arleigh</w:t>
      </w:r>
      <w:proofErr w:type="spellEnd"/>
      <w:r w:rsidRPr="001F042E">
        <w:rPr>
          <w:sz w:val="14"/>
        </w:rPr>
        <w:t xml:space="preserve"> A. Burke Chair in Strategy at CSIS. He is a recipient of the Department of Defense Distinguished Service Medal. During his time at CSIS, he has completed a wide variety of studies on energy, U.S. strategy and defense plans,</w:t>
      </w:r>
    </w:p>
    <w:p w:rsidR="005F04A2" w:rsidRPr="001F042E" w:rsidRDefault="005F04A2" w:rsidP="005F04A2">
      <w:pPr>
        <w:rPr>
          <w:sz w:val="14"/>
        </w:rPr>
      </w:pPr>
      <w:r w:rsidRPr="001F042E">
        <w:rPr>
          <w:rStyle w:val="StyleStyleBold12pt"/>
        </w:rPr>
        <w:t>2011</w:t>
      </w:r>
      <w:r w:rsidRPr="001F042E">
        <w:rPr>
          <w:rStyle w:val="StyleStyleBold12pt"/>
          <w:sz w:val="14"/>
        </w:rPr>
        <w:t xml:space="preserve"> </w:t>
      </w:r>
      <w:r w:rsidRPr="001F042E">
        <w:rPr>
          <w:sz w:val="14"/>
        </w:rPr>
        <w:t>“US Oil and Gas Import Dependence: Department of Energy Projections in 2011” http://csis.org/expert/anthony-h-cordesman</w:t>
      </w:r>
    </w:p>
    <w:p w:rsidR="005F04A2" w:rsidRDefault="005F04A2" w:rsidP="005F04A2"/>
    <w:p w:rsidR="005F04A2" w:rsidRDefault="005F04A2" w:rsidP="005F04A2">
      <w:pPr>
        <w:rPr>
          <w:rStyle w:val="StyleBoldUnderline"/>
        </w:rPr>
      </w:pPr>
      <w:r w:rsidRPr="00D95DB3">
        <w:rPr>
          <w:sz w:val="16"/>
        </w:rPr>
        <w:t xml:space="preserve">At the same time, the reference case – which is based on very favorable assumptions about technology, alternative liquids, and future demand – still leaves the US </w:t>
      </w:r>
      <w:r w:rsidRPr="001F042E">
        <w:rPr>
          <w:rStyle w:val="StyleBoldUnderline"/>
          <w:highlight w:val="yellow"/>
        </w:rPr>
        <w:t>dependent on imports equal to over 40% of its consumption in the far more likely</w:t>
      </w:r>
      <w:r w:rsidRPr="00D95DB3">
        <w:rPr>
          <w:sz w:val="16"/>
        </w:rPr>
        <w:t xml:space="preserve"> reference </w:t>
      </w:r>
      <w:r w:rsidRPr="001F042E">
        <w:rPr>
          <w:rStyle w:val="StyleBoldUnderline"/>
          <w:highlight w:val="yellow"/>
        </w:rPr>
        <w:t>case</w:t>
      </w:r>
      <w:r w:rsidRPr="00D95DB3">
        <w:rPr>
          <w:sz w:val="16"/>
        </w:rPr>
        <w:t xml:space="preserve"> – rising </w:t>
      </w:r>
      <w:r w:rsidRPr="001F042E">
        <w:rPr>
          <w:rStyle w:val="StyleBoldUnderline"/>
          <w:highlight w:val="yellow"/>
        </w:rPr>
        <w:t>to over 60% in the low price case</w:t>
      </w:r>
      <w:r w:rsidRPr="00D95DB3">
        <w:rPr>
          <w:sz w:val="16"/>
        </w:rPr>
        <w:t xml:space="preserve">. These are still critical levels of strategic dependence, and the fourth and fifth charts in this section show that </w:t>
      </w:r>
      <w:r w:rsidRPr="001F042E">
        <w:rPr>
          <w:rStyle w:val="StyleBoldUnderline"/>
          <w:highlight w:val="yellow"/>
        </w:rPr>
        <w:t>President Obama’s goal of a 33% reduction in the US import level in 2008 is no more credible than President Nixon’s goal of 100% in 1980.</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A2" w:rsidRDefault="005F04A2" w:rsidP="005F5576">
      <w:r>
        <w:separator/>
      </w:r>
    </w:p>
  </w:endnote>
  <w:endnote w:type="continuationSeparator" w:id="0">
    <w:p w:rsidR="005F04A2" w:rsidRDefault="005F04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A2" w:rsidRDefault="005F04A2" w:rsidP="005F5576">
      <w:r>
        <w:separator/>
      </w:r>
    </w:p>
  </w:footnote>
  <w:footnote w:type="continuationSeparator" w:id="0">
    <w:p w:rsidR="005F04A2" w:rsidRDefault="005F04A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A2"/>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04A2"/>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4A2"/>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5F04A2"/>
    <w:pPr>
      <w:spacing w:after="100"/>
    </w:pPr>
  </w:style>
  <w:style w:type="paragraph" w:styleId="TOC2">
    <w:name w:val="toc 2"/>
    <w:basedOn w:val="Normal"/>
    <w:next w:val="Normal"/>
    <w:autoRedefine/>
    <w:uiPriority w:val="39"/>
    <w:rsid w:val="005F04A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4A2"/>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5F04A2"/>
    <w:pPr>
      <w:spacing w:after="100"/>
    </w:pPr>
  </w:style>
  <w:style w:type="paragraph" w:styleId="TOC2">
    <w:name w:val="toc 2"/>
    <w:basedOn w:val="Normal"/>
    <w:next w:val="Normal"/>
    <w:autoRedefine/>
    <w:uiPriority w:val="39"/>
    <w:rsid w:val="005F04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ction.sierraclub.org/site/PageNavigator/adv_eodo"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CF4FCD3-8203-4D75-BAB5-D19C54AC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13</Pages>
  <Words>1584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2012-07-21T09:34:00Z</dcterms:created>
  <dcterms:modified xsi:type="dcterms:W3CDTF">2012-07-21T09:35:00Z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