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0A" w:rsidRPr="002D0393" w:rsidRDefault="0073070A" w:rsidP="0073070A">
      <w:pPr>
        <w:pStyle w:val="Heading2"/>
      </w:pPr>
      <w:r>
        <w:t>They Say: “Deficit Spending Will Cause A Credit Downgrade”—1</w:t>
      </w:r>
      <w:r w:rsidRPr="00185232">
        <w:rPr>
          <w:vertAlign w:val="superscript"/>
        </w:rPr>
        <w:t>st</w:t>
      </w:r>
      <w:r>
        <w:t xml:space="preserve"> Line</w:t>
      </w:r>
    </w:p>
    <w:p w:rsidR="0073070A" w:rsidRPr="00196B9B" w:rsidRDefault="0073070A" w:rsidP="0073070A">
      <w:pPr>
        <w:pStyle w:val="Heading3"/>
      </w:pPr>
      <w:r w:rsidRPr="00196B9B">
        <w:t xml:space="preserve">No risk of a credit downgrade—it’s not in the </w:t>
      </w:r>
      <w:r w:rsidRPr="00445AE9">
        <w:rPr>
          <w:u w:val="single"/>
        </w:rPr>
        <w:t>banks’ self-interest</w:t>
      </w:r>
      <w:r w:rsidRPr="00196B9B">
        <w:t>.</w:t>
      </w:r>
    </w:p>
    <w:p w:rsidR="0073070A" w:rsidRPr="0073070A" w:rsidRDefault="0073070A" w:rsidP="0073070A">
      <w:r w:rsidRPr="0073070A">
        <w:rPr>
          <w:rStyle w:val="StyleStyleBold12pt"/>
        </w:rPr>
        <w:t>Baker 10</w:t>
      </w:r>
      <w:r>
        <w:t xml:space="preserve"> — </w:t>
      </w:r>
      <w:r w:rsidRPr="0073070A">
        <w:t>Dean Baker, Co-Director of the Center for Economic and Policy Research, 2010 (“What explains a Moody's change</w:t>
      </w:r>
      <w:proofErr w:type="gramStart"/>
      <w:r w:rsidRPr="0073070A">
        <w:t>?,</w:t>
      </w:r>
      <w:proofErr w:type="gramEnd"/>
      <w:r w:rsidRPr="0073070A">
        <w:t xml:space="preserve">” </w:t>
      </w:r>
      <w:r w:rsidRPr="0073070A">
        <w:rPr>
          <w:i/>
        </w:rPr>
        <w:t>The Guardian</w:t>
      </w:r>
      <w:r w:rsidRPr="0073070A">
        <w:t>, March 23</w:t>
      </w:r>
      <w:r w:rsidRPr="0073070A">
        <w:rPr>
          <w:vertAlign w:val="superscript"/>
        </w:rPr>
        <w:t>rd</w:t>
      </w:r>
      <w:r w:rsidRPr="0073070A">
        <w:t>, Available Online at http://www.guardian.co.uk/commentisfree/cifamerica/2010/ mar/23/us-debt-rating, Accessed 03-25-2010)</w:t>
      </w:r>
    </w:p>
    <w:p w:rsidR="0073070A" w:rsidRPr="0073070A" w:rsidRDefault="0073070A" w:rsidP="0073070A">
      <w:pPr>
        <w:rPr>
          <w:sz w:val="16"/>
        </w:rPr>
      </w:pPr>
      <w:r w:rsidRPr="0073070A">
        <w:rPr>
          <w:sz w:val="16"/>
        </w:rPr>
        <w:t xml:space="preserve">There is one way in which the public can better </w:t>
      </w:r>
      <w:proofErr w:type="spellStart"/>
      <w:r w:rsidRPr="0073070A">
        <w:rPr>
          <w:sz w:val="16"/>
        </w:rPr>
        <w:t>recognise</w:t>
      </w:r>
      <w:proofErr w:type="spellEnd"/>
      <w:r w:rsidRPr="0073070A">
        <w:rPr>
          <w:sz w:val="16"/>
        </w:rPr>
        <w:t xml:space="preserve"> what Moody's motivations may be. </w:t>
      </w:r>
      <w:r w:rsidRPr="0073070A">
        <w:rPr>
          <w:rStyle w:val="StyleBoldUnderline"/>
        </w:rPr>
        <w:t xml:space="preserve">All </w:t>
      </w:r>
      <w:r w:rsidRPr="0073070A">
        <w:rPr>
          <w:rStyle w:val="StyleBoldUnderline"/>
          <w:highlight w:val="yellow"/>
        </w:rPr>
        <w:t>banks</w:t>
      </w:r>
      <w:r w:rsidRPr="0073070A">
        <w:rPr>
          <w:sz w:val="16"/>
        </w:rPr>
        <w:t xml:space="preserve">, including giants like Citigroup and Goldman Sachs, </w:t>
      </w:r>
      <w:r w:rsidRPr="0073070A">
        <w:rPr>
          <w:rStyle w:val="StyleBoldUnderline"/>
          <w:highlight w:val="yellow"/>
        </w:rPr>
        <w:t>hold huge amounts of US</w:t>
      </w:r>
      <w:r w:rsidRPr="0073070A">
        <w:rPr>
          <w:rStyle w:val="StyleBoldUnderline"/>
        </w:rPr>
        <w:t xml:space="preserve"> government </w:t>
      </w:r>
      <w:r w:rsidRPr="0073070A">
        <w:rPr>
          <w:rStyle w:val="StyleBoldUnderline"/>
          <w:highlight w:val="yellow"/>
        </w:rPr>
        <w:t>debt. They are also reliant on the</w:t>
      </w:r>
      <w:r w:rsidRPr="0073070A">
        <w:rPr>
          <w:rStyle w:val="StyleBoldUnderline"/>
        </w:rPr>
        <w:t xml:space="preserve"> US </w:t>
      </w:r>
      <w:r w:rsidRPr="0073070A">
        <w:rPr>
          <w:rStyle w:val="StyleBoldUnderline"/>
          <w:highlight w:val="yellow"/>
        </w:rPr>
        <w:t>government for all sorts of reasons</w:t>
      </w:r>
      <w:r w:rsidRPr="0073070A">
        <w:rPr>
          <w:rStyle w:val="StyleBoldUnderline"/>
        </w:rPr>
        <w:t xml:space="preserve">, including potential bailouts. </w:t>
      </w:r>
      <w:r w:rsidRPr="0073070A">
        <w:rPr>
          <w:rStyle w:val="StyleBoldUnderline"/>
          <w:highlight w:val="yellow"/>
        </w:rPr>
        <w:t>If the</w:t>
      </w:r>
      <w:r w:rsidRPr="0073070A">
        <w:rPr>
          <w:rStyle w:val="StyleBoldUnderline"/>
        </w:rPr>
        <w:t xml:space="preserve"> US </w:t>
      </w:r>
      <w:r w:rsidRPr="0073070A">
        <w:rPr>
          <w:rStyle w:val="StyleBoldUnderline"/>
          <w:highlight w:val="yellow"/>
        </w:rPr>
        <w:t>government were to default on</w:t>
      </w:r>
      <w:r w:rsidRPr="0073070A">
        <w:rPr>
          <w:rStyle w:val="StyleBoldUnderline"/>
        </w:rPr>
        <w:t xml:space="preserve"> its </w:t>
      </w:r>
      <w:r w:rsidRPr="0073070A">
        <w:rPr>
          <w:rStyle w:val="StyleBoldUnderline"/>
          <w:highlight w:val="yellow"/>
        </w:rPr>
        <w:t>debts</w:t>
      </w:r>
      <w:r w:rsidRPr="0073070A">
        <w:rPr>
          <w:rStyle w:val="StyleBoldUnderline"/>
        </w:rPr>
        <w:t xml:space="preserve">, then </w:t>
      </w:r>
      <w:r w:rsidRPr="0073070A">
        <w:rPr>
          <w:rStyle w:val="StyleBoldUnderline"/>
          <w:highlight w:val="yellow"/>
        </w:rPr>
        <w:t>it would</w:t>
      </w:r>
      <w:r w:rsidRPr="0073070A">
        <w:rPr>
          <w:rStyle w:val="StyleBoldUnderline"/>
        </w:rPr>
        <w:t xml:space="preserve"> almost certainly </w:t>
      </w:r>
      <w:r w:rsidRPr="0073070A">
        <w:rPr>
          <w:rStyle w:val="StyleBoldUnderline"/>
          <w:highlight w:val="yellow"/>
        </w:rPr>
        <w:t>wipe out every major bank</w:t>
      </w:r>
      <w:r w:rsidRPr="0073070A">
        <w:rPr>
          <w:rStyle w:val="StyleBoldUnderline"/>
        </w:rPr>
        <w:t xml:space="preserve"> in the country. </w:t>
      </w:r>
      <w:r w:rsidRPr="0073070A">
        <w:rPr>
          <w:rStyle w:val="StyleBoldUnderline"/>
          <w:highlight w:val="yellow"/>
        </w:rPr>
        <w:t>There is no</w:t>
      </w:r>
      <w:r w:rsidRPr="0073070A">
        <w:rPr>
          <w:rStyle w:val="StyleBoldUnderline"/>
        </w:rPr>
        <w:t xml:space="preserve"> plausible </w:t>
      </w:r>
      <w:r w:rsidRPr="0073070A">
        <w:rPr>
          <w:rStyle w:val="StyleBoldUnderline"/>
          <w:highlight w:val="yellow"/>
        </w:rPr>
        <w:t>scenario in which the</w:t>
      </w:r>
      <w:r w:rsidRPr="0073070A">
        <w:rPr>
          <w:rStyle w:val="StyleBoldUnderline"/>
        </w:rPr>
        <w:t xml:space="preserve"> US </w:t>
      </w:r>
      <w:r w:rsidRPr="0073070A">
        <w:rPr>
          <w:rStyle w:val="StyleBoldUnderline"/>
          <w:highlight w:val="yellow"/>
        </w:rPr>
        <w:t>government defaults on its debts</w:t>
      </w:r>
      <w:r w:rsidRPr="0073070A">
        <w:rPr>
          <w:rStyle w:val="StyleBoldUnderline"/>
        </w:rPr>
        <w:t xml:space="preserve"> and the banks will still be able to make good on their debt payments</w:t>
      </w:r>
      <w:r w:rsidRPr="0073070A">
        <w:rPr>
          <w:sz w:val="16"/>
        </w:rPr>
        <w:t>.</w:t>
      </w:r>
    </w:p>
    <w:p w:rsidR="0073070A" w:rsidRPr="0073070A" w:rsidRDefault="0073070A" w:rsidP="0073070A">
      <w:pPr>
        <w:rPr>
          <w:sz w:val="16"/>
        </w:rPr>
      </w:pPr>
      <w:r w:rsidRPr="0073070A">
        <w:rPr>
          <w:rStyle w:val="StyleBoldUnderline"/>
        </w:rPr>
        <w:t xml:space="preserve">This means that </w:t>
      </w:r>
      <w:r w:rsidRPr="0073070A">
        <w:rPr>
          <w:rStyle w:val="StyleBoldUnderline"/>
          <w:highlight w:val="yellow"/>
        </w:rPr>
        <w:t>if Moody's were to downgrade</w:t>
      </w:r>
      <w:r w:rsidRPr="0073070A">
        <w:rPr>
          <w:rStyle w:val="StyleBoldUnderline"/>
        </w:rPr>
        <w:t xml:space="preserve"> the </w:t>
      </w:r>
      <w:r w:rsidRPr="0073070A">
        <w:rPr>
          <w:rStyle w:val="StyleBoldUnderline"/>
          <w:highlight w:val="yellow"/>
        </w:rPr>
        <w:t>government</w:t>
      </w:r>
      <w:r w:rsidRPr="0073070A">
        <w:rPr>
          <w:rStyle w:val="StyleBoldUnderline"/>
        </w:rPr>
        <w:t xml:space="preserve">'s </w:t>
      </w:r>
      <w:r w:rsidRPr="0073070A">
        <w:rPr>
          <w:rStyle w:val="StyleBoldUnderline"/>
          <w:highlight w:val="yellow"/>
        </w:rPr>
        <w:t>debt</w:t>
      </w:r>
      <w:r w:rsidRPr="0073070A">
        <w:rPr>
          <w:rStyle w:val="StyleBoldUnderline"/>
        </w:rPr>
        <w:t xml:space="preserve">, to be consistent </w:t>
      </w:r>
      <w:r w:rsidRPr="0073070A">
        <w:rPr>
          <w:rStyle w:val="StyleBoldUnderline"/>
          <w:highlight w:val="yellow"/>
        </w:rPr>
        <w:t>it must also downgrade the debt of</w:t>
      </w:r>
      <w:r w:rsidRPr="0073070A">
        <w:rPr>
          <w:rStyle w:val="StyleBoldUnderline"/>
        </w:rPr>
        <w:t xml:space="preserve"> Citigroup, Goldman Sachs and the other </w:t>
      </w:r>
      <w:r w:rsidRPr="0073070A">
        <w:rPr>
          <w:rStyle w:val="StyleBoldUnderline"/>
          <w:highlight w:val="yellow"/>
        </w:rPr>
        <w:t>big banks. If Moody's</w:t>
      </w:r>
      <w:r w:rsidRPr="0073070A">
        <w:rPr>
          <w:rStyle w:val="StyleBoldUnderline"/>
        </w:rPr>
        <w:t xml:space="preserve"> downgrades the </w:t>
      </w:r>
      <w:r w:rsidRPr="0073070A">
        <w:rPr>
          <w:rStyle w:val="StyleBoldUnderline"/>
          <w:highlight w:val="yellow"/>
        </w:rPr>
        <w:t>government's debt, without downgrading</w:t>
      </w:r>
      <w:r w:rsidRPr="0073070A">
        <w:rPr>
          <w:rStyle w:val="StyleBoldUnderline"/>
        </w:rPr>
        <w:t xml:space="preserve"> the debt of the </w:t>
      </w:r>
      <w:r w:rsidRPr="0073070A">
        <w:rPr>
          <w:rStyle w:val="StyleBoldUnderline"/>
          <w:highlight w:val="yellow"/>
        </w:rPr>
        <w:t>big banks</w:t>
      </w:r>
      <w:r w:rsidRPr="0073070A">
        <w:rPr>
          <w:sz w:val="16"/>
        </w:rPr>
        <w:t xml:space="preserve"> – or even threatens to downgrade the government's debt without also threatening to downgrade the debt of the big banks – </w:t>
      </w:r>
      <w:r w:rsidRPr="0073070A">
        <w:rPr>
          <w:rStyle w:val="StyleBoldUnderline"/>
          <w:highlight w:val="yellow"/>
        </w:rPr>
        <w:t>then it seems</w:t>
      </w:r>
      <w:r w:rsidRPr="0073070A">
        <w:rPr>
          <w:rStyle w:val="StyleBoldUnderline"/>
        </w:rPr>
        <w:t xml:space="preserve"> more likely that </w:t>
      </w:r>
      <w:r w:rsidRPr="0073070A">
        <w:rPr>
          <w:rStyle w:val="StyleBoldUnderline"/>
          <w:highlight w:val="yellow"/>
        </w:rPr>
        <w:t>it could be</w:t>
      </w:r>
      <w:r w:rsidRPr="0073070A">
        <w:rPr>
          <w:rStyle w:val="StyleBoldUnderline"/>
        </w:rPr>
        <w:t xml:space="preserve"> acting </w:t>
      </w:r>
      <w:r w:rsidRPr="0073070A">
        <w:rPr>
          <w:rStyle w:val="StyleBoldUnderline"/>
          <w:highlight w:val="yellow"/>
        </w:rPr>
        <w:t>in pursuit of Wall Street's</w:t>
      </w:r>
      <w:r w:rsidRPr="0073070A">
        <w:rPr>
          <w:rStyle w:val="StyleBoldUnderline"/>
        </w:rPr>
        <w:t xml:space="preserve"> political </w:t>
      </w:r>
      <w:r w:rsidRPr="0073070A">
        <w:rPr>
          <w:rStyle w:val="StyleBoldUnderline"/>
          <w:highlight w:val="yellow"/>
        </w:rPr>
        <w:t>agenda</w:t>
      </w:r>
      <w:r w:rsidRPr="0073070A">
        <w:rPr>
          <w:rStyle w:val="StyleBoldUnderline"/>
        </w:rPr>
        <w:t xml:space="preserve"> than presenting its best assessment of the creditworthiness of the US government</w:t>
      </w:r>
      <w:r w:rsidRPr="0073070A">
        <w:rPr>
          <w:sz w:val="16"/>
        </w:rPr>
        <w:t>.</w:t>
      </w:r>
    </w:p>
    <w:p w:rsidR="0073070A" w:rsidRDefault="0073070A" w:rsidP="0073070A"/>
    <w:p w:rsidR="0073070A" w:rsidRPr="002D0393" w:rsidRDefault="0073070A" w:rsidP="0073070A">
      <w:pPr>
        <w:pStyle w:val="Heading2"/>
      </w:pPr>
      <w:r>
        <w:lastRenderedPageBreak/>
        <w:t>They Say: “Deficit Spending Will Cause A Credit Downgrade”—2</w:t>
      </w:r>
      <w:r w:rsidRPr="00DD23FC">
        <w:rPr>
          <w:vertAlign w:val="superscript"/>
        </w:rPr>
        <w:t>nd</w:t>
      </w:r>
      <w:r>
        <w:t xml:space="preserve"> Line</w:t>
      </w:r>
    </w:p>
    <w:p w:rsidR="0073070A" w:rsidRPr="008211A6" w:rsidRDefault="0073070A" w:rsidP="0073070A">
      <w:pPr>
        <w:pStyle w:val="Heading3"/>
      </w:pPr>
      <w:r w:rsidRPr="008211A6">
        <w:t xml:space="preserve">Extend </w:t>
      </w:r>
      <w:r>
        <w:t xml:space="preserve">that </w:t>
      </w:r>
      <w:r w:rsidRPr="008211A6">
        <w:t>there’s no risk of a credit downgrade.</w:t>
      </w:r>
    </w:p>
    <w:p w:rsidR="0073070A" w:rsidRPr="008211A6" w:rsidRDefault="0073070A" w:rsidP="0073070A">
      <w:r w:rsidRPr="008211A6">
        <w:t xml:space="preserve">All banks hold huge amounts of U.S. debt and are reliant on the government—this makes government credit an existential necessity for </w:t>
      </w:r>
      <w:r w:rsidRPr="0073070A">
        <w:rPr>
          <w:i/>
        </w:rPr>
        <w:t>literally</w:t>
      </w:r>
      <w:r w:rsidRPr="008211A6">
        <w:t xml:space="preserve"> every bank in the country, so they will not allow it to be downgraded. Our </w:t>
      </w:r>
      <w:r w:rsidRPr="008211A6">
        <w:rPr>
          <w:i/>
        </w:rPr>
        <w:t>Baker</w:t>
      </w:r>
      <w:r w:rsidRPr="008211A6">
        <w:t xml:space="preserve"> evidence explains that fears of a downgrade by Moody's are just political scare tactics—you should not consider this argument when determining U.S. macroeconomic policy.</w:t>
      </w:r>
    </w:p>
    <w:p w:rsidR="0073070A" w:rsidRPr="008211A6" w:rsidRDefault="0073070A" w:rsidP="0073070A"/>
    <w:p w:rsidR="0073070A" w:rsidRPr="00196B9B" w:rsidRDefault="0073070A" w:rsidP="0073070A">
      <w:pPr>
        <w:pStyle w:val="Heading3"/>
      </w:pPr>
      <w:r w:rsidRPr="008211A6">
        <w:rPr>
          <w:u w:val="single"/>
        </w:rPr>
        <w:t>And</w:t>
      </w:r>
      <w:r w:rsidRPr="008211A6">
        <w:t>—</w:t>
      </w:r>
      <w:r w:rsidRPr="008211A6">
        <w:rPr>
          <w:u w:val="single"/>
        </w:rPr>
        <w:t>current investor behavior</w:t>
      </w:r>
      <w:r w:rsidRPr="00196B9B">
        <w:t xml:space="preserve"> proves our argument—don’t believe the hype.</w:t>
      </w:r>
    </w:p>
    <w:p w:rsidR="0073070A" w:rsidRPr="0073070A" w:rsidRDefault="0073070A" w:rsidP="0073070A">
      <w:r w:rsidRPr="0073070A">
        <w:rPr>
          <w:rStyle w:val="StyleStyleBold12pt"/>
        </w:rPr>
        <w:t>Baker 10</w:t>
      </w:r>
      <w:r>
        <w:t xml:space="preserve"> — </w:t>
      </w:r>
      <w:r w:rsidRPr="0073070A">
        <w:t>Dean Baker, Co-Director of the Center for Economic and Policy Research, 2010 (“The Budget Deficit Scare Story and the Great Recession,” Center for Economic and Policy Research, February, Available Online at http://www.cepr.net/documents/publications/deficit-2010-02.pdf, Accessed 04-26-2010, p. 7)</w:t>
      </w:r>
    </w:p>
    <w:p w:rsidR="0073070A" w:rsidRPr="0073070A" w:rsidRDefault="0073070A" w:rsidP="0073070A">
      <w:pPr>
        <w:rPr>
          <w:sz w:val="16"/>
        </w:rPr>
      </w:pPr>
      <w:r w:rsidRPr="0073070A">
        <w:rPr>
          <w:sz w:val="16"/>
        </w:rPr>
        <w:t xml:space="preserve">The main argument made against additional stimulus at this point is that it would jeopardize the standing of the U.S. government in financial markets. This assertion seems to contradict the current behavior of financial markets, where long-term Treasury debt continues to be held at very low yields. </w:t>
      </w:r>
      <w:r w:rsidRPr="0073070A">
        <w:rPr>
          <w:rStyle w:val="StyleBoldUnderline"/>
          <w:highlight w:val="yellow"/>
        </w:rPr>
        <w:t>If financial markets questioned the ability of the U.S.</w:t>
      </w:r>
      <w:r w:rsidRPr="0073070A">
        <w:rPr>
          <w:rStyle w:val="StyleBoldUnderline"/>
        </w:rPr>
        <w:t xml:space="preserve"> government </w:t>
      </w:r>
      <w:r w:rsidRPr="0073070A">
        <w:rPr>
          <w:rStyle w:val="StyleBoldUnderline"/>
          <w:highlight w:val="yellow"/>
        </w:rPr>
        <w:t>to honor its debt</w:t>
      </w:r>
      <w:r w:rsidRPr="0073070A">
        <w:rPr>
          <w:rStyle w:val="StyleBoldUnderline"/>
        </w:rPr>
        <w:t xml:space="preserve">, </w:t>
      </w:r>
      <w:r w:rsidRPr="0073070A">
        <w:rPr>
          <w:rStyle w:val="StyleBoldUnderline"/>
          <w:highlight w:val="yellow"/>
        </w:rPr>
        <w:t>they should already be demanding a premium on longer-term</w:t>
      </w:r>
      <w:r w:rsidRPr="0073070A">
        <w:rPr>
          <w:rStyle w:val="StyleBoldUnderline"/>
        </w:rPr>
        <w:t xml:space="preserve"> issues, like 10-year or 30-year Treasury </w:t>
      </w:r>
      <w:r w:rsidRPr="0073070A">
        <w:rPr>
          <w:rStyle w:val="StyleBoldUnderline"/>
          <w:highlight w:val="yellow"/>
        </w:rPr>
        <w:t>bonds. As it stands, these bonds continue to trade at interest rates that are near post-World War II lows</w:t>
      </w:r>
      <w:r w:rsidRPr="0073070A">
        <w:rPr>
          <w:sz w:val="16"/>
        </w:rPr>
        <w:t xml:space="preserve">. In other words, </w:t>
      </w:r>
      <w:r w:rsidRPr="0073070A">
        <w:rPr>
          <w:rStyle w:val="StyleBoldUnderline"/>
        </w:rPr>
        <w:t xml:space="preserve">the </w:t>
      </w:r>
      <w:r w:rsidRPr="0073070A">
        <w:rPr>
          <w:rStyle w:val="StyleBoldUnderline"/>
          <w:highlight w:val="yellow"/>
        </w:rPr>
        <w:t>investors</w:t>
      </w:r>
      <w:r w:rsidRPr="0073070A">
        <w:rPr>
          <w:rStyle w:val="StyleBoldUnderline"/>
        </w:rPr>
        <w:t xml:space="preserve"> who are actually betting on the financial health of the U.S. government </w:t>
      </w:r>
      <w:r w:rsidRPr="0073070A">
        <w:rPr>
          <w:rStyle w:val="StyleBoldUnderline"/>
          <w:highlight w:val="yellow"/>
        </w:rPr>
        <w:t>don’t</w:t>
      </w:r>
      <w:r w:rsidRPr="0073070A">
        <w:rPr>
          <w:rStyle w:val="StyleBoldUnderline"/>
        </w:rPr>
        <w:t xml:space="preserve"> seem to </w:t>
      </w:r>
      <w:r w:rsidRPr="0073070A">
        <w:rPr>
          <w:rStyle w:val="StyleBoldUnderline"/>
          <w:highlight w:val="yellow"/>
        </w:rPr>
        <w:t>share the fears</w:t>
      </w:r>
      <w:r w:rsidRPr="0073070A">
        <w:rPr>
          <w:rStyle w:val="StyleBoldUnderline"/>
        </w:rPr>
        <w:t xml:space="preserve"> of the policy analysts and economists complaining </w:t>
      </w:r>
      <w:r w:rsidRPr="0073070A">
        <w:rPr>
          <w:rStyle w:val="StyleBoldUnderline"/>
          <w:highlight w:val="yellow"/>
        </w:rPr>
        <w:t>about the deficit</w:t>
      </w:r>
      <w:r w:rsidRPr="0073070A">
        <w:rPr>
          <w:sz w:val="16"/>
          <w:highlight w:val="yellow"/>
        </w:rPr>
        <w:t>.</w:t>
      </w:r>
    </w:p>
    <w:p w:rsidR="0073070A" w:rsidRPr="008211A6" w:rsidRDefault="0073070A" w:rsidP="0073070A"/>
    <w:p w:rsidR="0073070A" w:rsidRPr="00196B9B" w:rsidRDefault="0073070A" w:rsidP="0073070A">
      <w:pPr>
        <w:pStyle w:val="Heading3"/>
      </w:pPr>
      <w:r w:rsidRPr="008211A6">
        <w:rPr>
          <w:u w:val="single"/>
        </w:rPr>
        <w:t>And</w:t>
      </w:r>
      <w:r w:rsidRPr="00196B9B">
        <w:t xml:space="preserve">—reject the </w:t>
      </w:r>
      <w:r w:rsidRPr="008211A6">
        <w:rPr>
          <w:u w:val="single"/>
        </w:rPr>
        <w:t>deficit terrorism</w:t>
      </w:r>
      <w:r w:rsidRPr="00196B9B">
        <w:t xml:space="preserve"> of the ratings agencies—sovereign U.S. debt can only be rationally rated Triple-A.</w:t>
      </w:r>
    </w:p>
    <w:p w:rsidR="0073070A" w:rsidRPr="0073070A" w:rsidRDefault="0073070A" w:rsidP="0073070A">
      <w:r w:rsidRPr="0073070A">
        <w:rPr>
          <w:rStyle w:val="StyleStyleBold12pt"/>
        </w:rPr>
        <w:t>Wray 10</w:t>
      </w:r>
      <w:r>
        <w:t xml:space="preserve"> — </w:t>
      </w:r>
      <w:r w:rsidRPr="0073070A">
        <w:t xml:space="preserve">L. Randall Wray, Professor of Economics at the University of Missouri-Kansas City, Research Director with the Center for Full Employment and Price Stability, and Senior Research Scholar at The Levy Economics Institute, with </w:t>
      </w:r>
      <w:proofErr w:type="spellStart"/>
      <w:r w:rsidRPr="0073070A">
        <w:t>Yeva</w:t>
      </w:r>
      <w:proofErr w:type="spellEnd"/>
      <w:r w:rsidRPr="0073070A">
        <w:t xml:space="preserve"> </w:t>
      </w:r>
      <w:proofErr w:type="spellStart"/>
      <w:r w:rsidRPr="0073070A">
        <w:t>Nersisyan</w:t>
      </w:r>
      <w:proofErr w:type="spellEnd"/>
      <w:r w:rsidRPr="0073070A">
        <w:t xml:space="preserve">, Ph.D. Candidate in Economics and Math and Statistics at the University of Missouri–Kansas City, 2010 (“Neoliberal Deficit Hysteria Strikes Again,” </w:t>
      </w:r>
      <w:r w:rsidRPr="0073070A">
        <w:rPr>
          <w:i/>
        </w:rPr>
        <w:t>New Economic Perspectives</w:t>
      </w:r>
      <w:r w:rsidRPr="0073070A">
        <w:t>, March 22</w:t>
      </w:r>
      <w:r w:rsidRPr="0073070A">
        <w:rPr>
          <w:vertAlign w:val="superscript"/>
        </w:rPr>
        <w:t>nd</w:t>
      </w:r>
      <w:r w:rsidRPr="0073070A">
        <w:t>, Available Online at http://neweconomicperspectives.blogspot.com/2010/03/neoliberal-deficit-hysteria-strikes.html, Accessed 03-25-2010)</w:t>
      </w:r>
    </w:p>
    <w:p w:rsidR="0073070A" w:rsidRPr="0073070A" w:rsidRDefault="0073070A" w:rsidP="0073070A">
      <w:pPr>
        <w:rPr>
          <w:sz w:val="16"/>
        </w:rPr>
      </w:pPr>
      <w:r w:rsidRPr="0073070A">
        <w:rPr>
          <w:sz w:val="16"/>
        </w:rPr>
        <w:t xml:space="preserve">The </w:t>
      </w:r>
      <w:r w:rsidRPr="0073070A">
        <w:rPr>
          <w:rStyle w:val="StyleBoldUnderline"/>
          <w:highlight w:val="yellow"/>
        </w:rPr>
        <w:t>ratings agencies</w:t>
      </w:r>
      <w:r w:rsidRPr="0073070A">
        <w:rPr>
          <w:sz w:val="16"/>
        </w:rPr>
        <w:t xml:space="preserve"> are another </w:t>
      </w:r>
      <w:proofErr w:type="gramStart"/>
      <w:r w:rsidRPr="0073070A">
        <w:rPr>
          <w:sz w:val="16"/>
        </w:rPr>
        <w:t>matter</w:t>
      </w:r>
      <w:proofErr w:type="gramEnd"/>
      <w:r w:rsidRPr="0073070A">
        <w:rPr>
          <w:sz w:val="16"/>
        </w:rPr>
        <w:t xml:space="preserve"> altogether. These </w:t>
      </w:r>
      <w:r w:rsidRPr="0073070A">
        <w:rPr>
          <w:rStyle w:val="StyleBoldUnderline"/>
        </w:rPr>
        <w:t xml:space="preserve">blessed every kind of Wall Street excess with triple </w:t>
      </w:r>
      <w:proofErr w:type="gramStart"/>
      <w:r w:rsidRPr="0073070A">
        <w:rPr>
          <w:rStyle w:val="StyleBoldUnderline"/>
        </w:rPr>
        <w:t>A</w:t>
      </w:r>
      <w:proofErr w:type="gramEnd"/>
      <w:r w:rsidRPr="0073070A">
        <w:rPr>
          <w:rStyle w:val="StyleBoldUnderline"/>
        </w:rPr>
        <w:t xml:space="preserve"> ratings</w:t>
      </w:r>
      <w:r w:rsidRPr="0073070A">
        <w:rPr>
          <w:sz w:val="16"/>
        </w:rPr>
        <w:t xml:space="preserve">. They never saw a NINJA loan they did not love. Yet, </w:t>
      </w:r>
      <w:r w:rsidRPr="0073070A">
        <w:rPr>
          <w:rStyle w:val="StyleBoldUnderline"/>
        </w:rPr>
        <w:t xml:space="preserve">they </w:t>
      </w:r>
      <w:r w:rsidRPr="0073070A">
        <w:rPr>
          <w:rStyle w:val="StyleBoldUnderline"/>
          <w:highlight w:val="yellow"/>
        </w:rPr>
        <w:t>are engaged in an ugly form of deficit terrorism</w:t>
      </w:r>
      <w:r w:rsidRPr="0073070A">
        <w:rPr>
          <w:rStyle w:val="StyleBoldUnderline"/>
        </w:rPr>
        <w:t>, attacking one country after another</w:t>
      </w:r>
      <w:r w:rsidRPr="0073070A">
        <w:rPr>
          <w:sz w:val="16"/>
        </w:rPr>
        <w:t xml:space="preserve">, downgrading debt, raising interest rates and causing budget deficits to rise, which then pushes up credit default swap prices and triggers further downgrades. </w:t>
      </w:r>
      <w:r w:rsidRPr="0073070A">
        <w:rPr>
          <w:rStyle w:val="StyleBoldUnderline"/>
          <w:highlight w:val="yellow"/>
        </w:rPr>
        <w:t>Ratings agencies serve no public purpose. They are</w:t>
      </w:r>
      <w:r w:rsidRPr="0073070A">
        <w:rPr>
          <w:rStyle w:val="StyleBoldUnderline"/>
        </w:rPr>
        <w:t xml:space="preserve"> thoroughly </w:t>
      </w:r>
      <w:r w:rsidRPr="0073070A">
        <w:rPr>
          <w:rStyle w:val="StyleBoldUnderline"/>
          <w:highlight w:val="yellow"/>
        </w:rPr>
        <w:t>incompetent, and</w:t>
      </w:r>
      <w:r w:rsidRPr="0073070A">
        <w:rPr>
          <w:rStyle w:val="StyleBoldUnderline"/>
        </w:rPr>
        <w:t xml:space="preserve"> probably irredeemably </w:t>
      </w:r>
      <w:r w:rsidRPr="0073070A">
        <w:rPr>
          <w:rStyle w:val="StyleBoldUnderline"/>
          <w:highlight w:val="yellow"/>
        </w:rPr>
        <w:t>fraudulent.</w:t>
      </w:r>
      <w:r w:rsidRPr="0073070A">
        <w:rPr>
          <w:rStyle w:val="StyleBoldUnderline"/>
        </w:rPr>
        <w:t xml:space="preserve"> They should be shut down, investigated, and prosecuted</w:t>
      </w:r>
      <w:r w:rsidRPr="0073070A">
        <w:rPr>
          <w:sz w:val="16"/>
        </w:rPr>
        <w:t>.</w:t>
      </w:r>
    </w:p>
    <w:p w:rsidR="0073070A" w:rsidRPr="0073070A" w:rsidRDefault="0073070A" w:rsidP="0073070A">
      <w:pPr>
        <w:rPr>
          <w:sz w:val="16"/>
        </w:rPr>
      </w:pPr>
      <w:r w:rsidRPr="0073070A">
        <w:rPr>
          <w:sz w:val="16"/>
        </w:rPr>
        <w:t xml:space="preserve">President </w:t>
      </w:r>
      <w:r w:rsidRPr="0073070A">
        <w:rPr>
          <w:rStyle w:val="StyleBoldUnderline"/>
          <w:highlight w:val="yellow"/>
        </w:rPr>
        <w:t>Obama</w:t>
      </w:r>
      <w:r w:rsidRPr="0073070A">
        <w:rPr>
          <w:sz w:val="16"/>
        </w:rPr>
        <w:t xml:space="preserve"> and PM Brown </w:t>
      </w:r>
      <w:r w:rsidRPr="0073070A">
        <w:rPr>
          <w:rStyle w:val="StyleBoldUnderline"/>
          <w:highlight w:val="yellow"/>
        </w:rPr>
        <w:t>should “just say no” to the</w:t>
      </w:r>
      <w:r w:rsidRPr="0073070A">
        <w:rPr>
          <w:rStyle w:val="StyleBoldUnderline"/>
        </w:rPr>
        <w:t xml:space="preserve"> attempted </w:t>
      </w:r>
      <w:r w:rsidRPr="0073070A">
        <w:rPr>
          <w:rStyle w:val="StyleBoldUnderline"/>
          <w:highlight w:val="yellow"/>
        </w:rPr>
        <w:t>intervention by these</w:t>
      </w:r>
      <w:r w:rsidRPr="0073070A">
        <w:rPr>
          <w:rStyle w:val="StyleBoldUnderline"/>
        </w:rPr>
        <w:t xml:space="preserve"> fundamentally </w:t>
      </w:r>
      <w:r w:rsidRPr="0073070A">
        <w:rPr>
          <w:rStyle w:val="StyleBoldUnderline"/>
          <w:highlight w:val="yellow"/>
        </w:rPr>
        <w:t>misguided deficit hawks</w:t>
      </w:r>
      <w:r w:rsidRPr="0073070A">
        <w:rPr>
          <w:sz w:val="16"/>
        </w:rPr>
        <w:t xml:space="preserve"> into their economic and political affairs. </w:t>
      </w:r>
      <w:r w:rsidRPr="0073070A">
        <w:rPr>
          <w:rStyle w:val="StyleBoldUnderline"/>
          <w:highlight w:val="yellow"/>
        </w:rPr>
        <w:t>Not only would fiscal tightening now</w:t>
      </w:r>
      <w:r w:rsidRPr="0073070A">
        <w:rPr>
          <w:rStyle w:val="StyleBoldUnderline"/>
        </w:rPr>
        <w:t xml:space="preserve"> or even within the next several years </w:t>
      </w:r>
      <w:r w:rsidRPr="0073070A">
        <w:rPr>
          <w:rStyle w:val="StyleBoldUnderline"/>
          <w:highlight w:val="yellow"/>
        </w:rPr>
        <w:t>be a monumental mistake, the notion that</w:t>
      </w:r>
      <w:r w:rsidRPr="0073070A">
        <w:rPr>
          <w:rStyle w:val="StyleBoldUnderline"/>
        </w:rPr>
        <w:t xml:space="preserve"> continued </w:t>
      </w:r>
      <w:r w:rsidRPr="0073070A">
        <w:rPr>
          <w:rStyle w:val="StyleBoldUnderline"/>
          <w:highlight w:val="yellow"/>
        </w:rPr>
        <w:t>deficits threaten our economies is unsound</w:t>
      </w:r>
      <w:r w:rsidRPr="0073070A">
        <w:rPr>
          <w:sz w:val="16"/>
        </w:rPr>
        <w:t xml:space="preserve">. In the remainder of this piece we will briefly explain why. </w:t>
      </w:r>
      <w:r w:rsidRPr="0073070A">
        <w:rPr>
          <w:rStyle w:val="StyleBoldUnderline"/>
        </w:rPr>
        <w:t xml:space="preserve">What these </w:t>
      </w:r>
      <w:r w:rsidRPr="0073070A">
        <w:rPr>
          <w:rStyle w:val="StyleBoldUnderline"/>
          <w:highlight w:val="yellow"/>
        </w:rPr>
        <w:t>Neoliberals do not understand</w:t>
      </w:r>
      <w:r w:rsidRPr="0073070A">
        <w:rPr>
          <w:rStyle w:val="StyleBoldUnderline"/>
        </w:rPr>
        <w:t xml:space="preserve"> is </w:t>
      </w:r>
      <w:r w:rsidRPr="0073070A">
        <w:rPr>
          <w:rStyle w:val="StyleBoldUnderline"/>
          <w:highlight w:val="yellow"/>
        </w:rPr>
        <w:t>that the</w:t>
      </w:r>
      <w:r w:rsidRPr="0073070A">
        <w:rPr>
          <w:sz w:val="16"/>
        </w:rPr>
        <w:t xml:space="preserve"> UK and </w:t>
      </w:r>
      <w:r w:rsidRPr="0073070A">
        <w:rPr>
          <w:rStyle w:val="StyleBoldUnderline"/>
          <w:highlight w:val="yellow"/>
        </w:rPr>
        <w:t>US operate with sovereign currencies</w:t>
      </w:r>
      <w:r w:rsidRPr="0073070A">
        <w:rPr>
          <w:sz w:val="16"/>
        </w:rPr>
        <w:t xml:space="preserve">—that is both of these nations issue their own non-convertible (floating exchange rate) currencies. For this reason </w:t>
      </w:r>
      <w:r w:rsidRPr="0073070A">
        <w:rPr>
          <w:rStyle w:val="StyleBoldUnderline"/>
          <w:highlight w:val="yellow"/>
        </w:rPr>
        <w:t>the comparison with any nation that uses the Euro</w:t>
      </w:r>
      <w:r w:rsidRPr="0073070A">
        <w:rPr>
          <w:sz w:val="16"/>
        </w:rPr>
        <w:t xml:space="preserve"> (such as Greece), </w:t>
      </w:r>
      <w:r w:rsidRPr="0073070A">
        <w:rPr>
          <w:rStyle w:val="StyleBoldUnderline"/>
        </w:rPr>
        <w:t xml:space="preserve">or with a nation that pegs to precious metals or foreign currencies </w:t>
      </w:r>
      <w:r w:rsidRPr="0073070A">
        <w:rPr>
          <w:rStyle w:val="StyleBoldUnderline"/>
          <w:highlight w:val="yellow"/>
        </w:rPr>
        <w:t>is invalid</w:t>
      </w:r>
      <w:r w:rsidRPr="0073070A">
        <w:rPr>
          <w:sz w:val="16"/>
        </w:rPr>
        <w:t xml:space="preserve">. In other words, </w:t>
      </w:r>
      <w:r w:rsidRPr="0073070A">
        <w:rPr>
          <w:rStyle w:val="StyleBoldUnderline"/>
        </w:rPr>
        <w:t>there is no question of solvency or sustainability of deficits for the US</w:t>
      </w:r>
      <w:r w:rsidRPr="0073070A">
        <w:rPr>
          <w:sz w:val="16"/>
        </w:rPr>
        <w:t xml:space="preserve"> and UK. </w:t>
      </w:r>
      <w:r w:rsidRPr="0073070A">
        <w:rPr>
          <w:rStyle w:val="StyleBoldUnderline"/>
        </w:rPr>
        <w:t>Sovereign debt</w:t>
      </w:r>
      <w:r w:rsidRPr="0073070A">
        <w:rPr>
          <w:sz w:val="16"/>
        </w:rPr>
        <w:t xml:space="preserve"> of these nations </w:t>
      </w:r>
      <w:r w:rsidRPr="0073070A">
        <w:rPr>
          <w:rStyle w:val="StyleBoldUnderline"/>
        </w:rPr>
        <w:t>never carries default risk and hence cannot be rated below triple A</w:t>
      </w:r>
      <w:r w:rsidRPr="0073070A">
        <w:rPr>
          <w:sz w:val="16"/>
        </w:rPr>
        <w:t>.</w:t>
      </w:r>
    </w:p>
    <w:p w:rsidR="0073070A" w:rsidRPr="00DD23FC" w:rsidRDefault="0073070A" w:rsidP="0073070A"/>
    <w:p w:rsidR="0073070A" w:rsidRPr="00196B9B" w:rsidRDefault="0073070A" w:rsidP="0073070A">
      <w:pPr>
        <w:pStyle w:val="Heading3"/>
      </w:pPr>
      <w:r w:rsidRPr="008211A6">
        <w:rPr>
          <w:u w:val="single"/>
        </w:rPr>
        <w:lastRenderedPageBreak/>
        <w:t>And</w:t>
      </w:r>
      <w:r w:rsidRPr="00196B9B">
        <w:t xml:space="preserve">—the bond ratings agencies have </w:t>
      </w:r>
      <w:r w:rsidRPr="008211A6">
        <w:rPr>
          <w:u w:val="single"/>
        </w:rPr>
        <w:t>no credibility</w:t>
      </w:r>
      <w:r w:rsidRPr="00196B9B">
        <w:t xml:space="preserve">—their threats are </w:t>
      </w:r>
      <w:r w:rsidRPr="008211A6">
        <w:rPr>
          <w:u w:val="single"/>
        </w:rPr>
        <w:t>politically motivated</w:t>
      </w:r>
      <w:r w:rsidRPr="00196B9B">
        <w:t>.</w:t>
      </w:r>
    </w:p>
    <w:p w:rsidR="0073070A" w:rsidRPr="0073070A" w:rsidRDefault="0073070A" w:rsidP="0073070A">
      <w:r w:rsidRPr="0073070A">
        <w:rPr>
          <w:rStyle w:val="StyleStyleBold12pt"/>
        </w:rPr>
        <w:t>Baker 10</w:t>
      </w:r>
      <w:r>
        <w:t xml:space="preserve"> — </w:t>
      </w:r>
      <w:r w:rsidRPr="0073070A">
        <w:t>Dean Baker, Co-Director of the Center for Economic and Policy Research, 2010 (“What explains a Moody's change</w:t>
      </w:r>
      <w:proofErr w:type="gramStart"/>
      <w:r w:rsidRPr="0073070A">
        <w:t>?,</w:t>
      </w:r>
      <w:proofErr w:type="gramEnd"/>
      <w:r w:rsidRPr="0073070A">
        <w:t xml:space="preserve">” </w:t>
      </w:r>
      <w:r w:rsidRPr="0073070A">
        <w:rPr>
          <w:i/>
        </w:rPr>
        <w:t>The Guardian</w:t>
      </w:r>
      <w:r w:rsidRPr="0073070A">
        <w:t>, March 23</w:t>
      </w:r>
      <w:r w:rsidRPr="0073070A">
        <w:rPr>
          <w:vertAlign w:val="superscript"/>
        </w:rPr>
        <w:t>rd</w:t>
      </w:r>
      <w:r w:rsidRPr="0073070A">
        <w:t>, Available Online at http://www.guardian.co.uk/commentisfree/cifamerica/2010/ mar/23/us-debt-rating, Accessed 03-25-2010)</w:t>
      </w:r>
    </w:p>
    <w:p w:rsidR="0073070A" w:rsidRPr="0073070A" w:rsidRDefault="0073070A" w:rsidP="0073070A">
      <w:pPr>
        <w:rPr>
          <w:sz w:val="16"/>
        </w:rPr>
      </w:pPr>
      <w:r w:rsidRPr="0073070A">
        <w:rPr>
          <w:rStyle w:val="StyleBoldUnderline"/>
        </w:rPr>
        <w:t xml:space="preserve">Moody's and the other </w:t>
      </w:r>
      <w:r w:rsidRPr="0073070A">
        <w:rPr>
          <w:rStyle w:val="StyleBoldUnderline"/>
          <w:highlight w:val="yellow"/>
        </w:rPr>
        <w:t>bond rating agencies have featured prominently in</w:t>
      </w:r>
      <w:r w:rsidRPr="0073070A">
        <w:rPr>
          <w:rStyle w:val="StyleBoldUnderline"/>
        </w:rPr>
        <w:t xml:space="preserve"> the build-up to </w:t>
      </w:r>
      <w:r w:rsidRPr="0073070A">
        <w:rPr>
          <w:rStyle w:val="StyleBoldUnderline"/>
          <w:highlight w:val="yellow"/>
        </w:rPr>
        <w:t>the financial crisis.</w:t>
      </w:r>
      <w:r w:rsidRPr="0073070A">
        <w:rPr>
          <w:rStyle w:val="StyleBoldUnderline"/>
        </w:rPr>
        <w:t xml:space="preserve"> These agencies gave investment grade ratings to complex financial instruments filled with subprime mortgages and other bad assets. </w:t>
      </w:r>
      <w:r w:rsidRPr="0073070A">
        <w:rPr>
          <w:rStyle w:val="StyleBoldUnderline"/>
          <w:highlight w:val="yellow"/>
        </w:rPr>
        <w:t>These ratings allowed</w:t>
      </w:r>
      <w:r w:rsidRPr="0073070A">
        <w:rPr>
          <w:rStyle w:val="StyleBoldUnderline"/>
        </w:rPr>
        <w:t xml:space="preserve"> Goldman Sachs and other </w:t>
      </w:r>
      <w:r w:rsidRPr="0073070A">
        <w:rPr>
          <w:rStyle w:val="StyleBoldUnderline"/>
          <w:highlight w:val="yellow"/>
        </w:rPr>
        <w:t>investment banks to sell this trash around the</w:t>
      </w:r>
      <w:r w:rsidRPr="0073070A">
        <w:rPr>
          <w:rStyle w:val="StyleBoldUnderline"/>
        </w:rPr>
        <w:t xml:space="preserve"> country and the </w:t>
      </w:r>
      <w:r w:rsidRPr="0073070A">
        <w:rPr>
          <w:rStyle w:val="StyleBoldUnderline"/>
          <w:highlight w:val="yellow"/>
        </w:rPr>
        <w:t>world, ensuring</w:t>
      </w:r>
      <w:r w:rsidRPr="0073070A">
        <w:rPr>
          <w:rStyle w:val="StyleBoldUnderline"/>
        </w:rPr>
        <w:t xml:space="preserve"> that </w:t>
      </w:r>
      <w:r w:rsidRPr="0073070A">
        <w:rPr>
          <w:rStyle w:val="StyleBoldUnderline"/>
          <w:highlight w:val="yellow"/>
        </w:rPr>
        <w:t>the</w:t>
      </w:r>
      <w:r w:rsidRPr="0073070A">
        <w:rPr>
          <w:rStyle w:val="StyleBoldUnderline"/>
        </w:rPr>
        <w:t xml:space="preserve"> effects of the </w:t>
      </w:r>
      <w:r w:rsidRPr="0073070A">
        <w:rPr>
          <w:rStyle w:val="StyleBoldUnderline"/>
          <w:highlight w:val="yellow"/>
        </w:rPr>
        <w:t>collapse of the housing bubble would reverberate throughout the financial system</w:t>
      </w:r>
      <w:r w:rsidRPr="0073070A">
        <w:rPr>
          <w:sz w:val="16"/>
          <w:highlight w:val="yellow"/>
        </w:rPr>
        <w:t>.</w:t>
      </w:r>
    </w:p>
    <w:p w:rsidR="0073070A" w:rsidRPr="0073070A" w:rsidRDefault="0073070A" w:rsidP="0073070A">
      <w:pPr>
        <w:rPr>
          <w:sz w:val="16"/>
        </w:rPr>
      </w:pPr>
      <w:r w:rsidRPr="0073070A">
        <w:rPr>
          <w:sz w:val="16"/>
        </w:rPr>
        <w:t xml:space="preserve">It was not just incompetence that caused Moody's to misunderstand the quality of the issues it was rating. </w:t>
      </w:r>
      <w:r w:rsidRPr="0073070A">
        <w:rPr>
          <w:rStyle w:val="StyleBoldUnderline"/>
        </w:rPr>
        <w:t>Moody's and the other bond</w:t>
      </w:r>
      <w:r w:rsidRPr="0073070A">
        <w:rPr>
          <w:rStyle w:val="StyleBoldUnderline"/>
          <w:highlight w:val="yellow"/>
        </w:rPr>
        <w:t>-rating agencies were getting paid by the banks who</w:t>
      </w:r>
      <w:r w:rsidRPr="0073070A">
        <w:rPr>
          <w:rStyle w:val="StyleBoldUnderline"/>
        </w:rPr>
        <w:t xml:space="preserve">se assets that </w:t>
      </w:r>
      <w:r w:rsidRPr="0073070A">
        <w:rPr>
          <w:rStyle w:val="StyleBoldUnderline"/>
          <w:highlight w:val="yellow"/>
        </w:rPr>
        <w:t>they were rating</w:t>
      </w:r>
      <w:r w:rsidRPr="0073070A">
        <w:rPr>
          <w:sz w:val="16"/>
        </w:rPr>
        <w:t xml:space="preserve">. The bond-rating agencies knew that these companies wanted investment grade ratings for their issues. As one examiner for Standard and Poor's said in an email, </w:t>
      </w:r>
      <w:r w:rsidRPr="0073070A">
        <w:rPr>
          <w:rStyle w:val="StyleBoldUnderline"/>
          <w:highlight w:val="yellow"/>
        </w:rPr>
        <w:t>they would give investment</w:t>
      </w:r>
      <w:r w:rsidRPr="0073070A">
        <w:rPr>
          <w:rStyle w:val="StyleBoldUnderline"/>
        </w:rPr>
        <w:t xml:space="preserve"> grade </w:t>
      </w:r>
      <w:r w:rsidRPr="0073070A">
        <w:rPr>
          <w:rStyle w:val="StyleBoldUnderline"/>
          <w:highlight w:val="yellow"/>
        </w:rPr>
        <w:t>ratings to products "structured by cows"</w:t>
      </w:r>
      <w:r w:rsidRPr="0073070A">
        <w:rPr>
          <w:sz w:val="16"/>
          <w:highlight w:val="yellow"/>
        </w:rPr>
        <w:t>.</w:t>
      </w:r>
    </w:p>
    <w:p w:rsidR="0073070A" w:rsidRPr="0073070A" w:rsidRDefault="0073070A" w:rsidP="0073070A">
      <w:pPr>
        <w:rPr>
          <w:sz w:val="16"/>
        </w:rPr>
      </w:pPr>
      <w:r w:rsidRPr="0073070A">
        <w:rPr>
          <w:rStyle w:val="StyleBoldUnderline"/>
        </w:rPr>
        <w:t>This record must be kept in mind when considering the possibility of a Moody's downgrade of US government debt</w:t>
      </w:r>
      <w:r w:rsidRPr="0073070A">
        <w:rPr>
          <w:sz w:val="16"/>
        </w:rPr>
        <w:t xml:space="preserve">. It is no secret that </w:t>
      </w:r>
      <w:r w:rsidRPr="0073070A">
        <w:rPr>
          <w:rStyle w:val="StyleBoldUnderline"/>
          <w:highlight w:val="yellow"/>
        </w:rPr>
        <w:t>many on Wall Street would love to see social security and Medicare cut back</w:t>
      </w:r>
      <w:r w:rsidRPr="0073070A">
        <w:rPr>
          <w:rStyle w:val="StyleBoldUnderline"/>
        </w:rPr>
        <w:t xml:space="preserve"> or even </w:t>
      </w:r>
      <w:proofErr w:type="spellStart"/>
      <w:r w:rsidRPr="0073070A">
        <w:rPr>
          <w:rStyle w:val="StyleBoldUnderline"/>
        </w:rPr>
        <w:t>privatised</w:t>
      </w:r>
      <w:proofErr w:type="spellEnd"/>
      <w:r w:rsidRPr="0073070A">
        <w:rPr>
          <w:sz w:val="16"/>
        </w:rPr>
        <w:t xml:space="preserve">. Investment banker Peter Peterson has even committed $1bn toward promoting this agenda. </w:t>
      </w:r>
      <w:r w:rsidRPr="0073070A">
        <w:rPr>
          <w:rStyle w:val="StyleBoldUnderline"/>
          <w:highlight w:val="yellow"/>
        </w:rPr>
        <w:t>When Moody's threatens to downgrade US</w:t>
      </w:r>
      <w:r w:rsidRPr="0073070A">
        <w:rPr>
          <w:rStyle w:val="StyleBoldUnderline"/>
        </w:rPr>
        <w:t xml:space="preserve"> government </w:t>
      </w:r>
      <w:r w:rsidRPr="0073070A">
        <w:rPr>
          <w:rStyle w:val="StyleBoldUnderline"/>
          <w:highlight w:val="yellow"/>
        </w:rPr>
        <w:t>debt</w:t>
      </w:r>
      <w:r w:rsidRPr="0073070A">
        <w:rPr>
          <w:rStyle w:val="StyleBoldUnderline"/>
        </w:rPr>
        <w:t>,</w:t>
      </w:r>
      <w:r w:rsidRPr="0073070A">
        <w:rPr>
          <w:sz w:val="16"/>
        </w:rPr>
        <w:t xml:space="preserve"> or if it actually does so, it may reflect its actual assessment of the creditworthiness of the US government or </w:t>
      </w:r>
      <w:r w:rsidRPr="0073070A">
        <w:rPr>
          <w:rStyle w:val="StyleBoldUnderline"/>
          <w:highlight w:val="yellow"/>
        </w:rPr>
        <w:t>it could be a reflection of the Wall Street agenda</w:t>
      </w:r>
      <w:r w:rsidRPr="0073070A">
        <w:rPr>
          <w:rStyle w:val="StyleBoldUnderline"/>
        </w:rPr>
        <w:t xml:space="preserve"> to cut back these key public </w:t>
      </w:r>
      <w:proofErr w:type="spellStart"/>
      <w:r w:rsidRPr="0073070A">
        <w:rPr>
          <w:rStyle w:val="StyleBoldUnderline"/>
        </w:rPr>
        <w:t>programmes</w:t>
      </w:r>
      <w:proofErr w:type="spellEnd"/>
      <w:r w:rsidRPr="0073070A">
        <w:rPr>
          <w:sz w:val="16"/>
        </w:rPr>
        <w:t>.</w:t>
      </w:r>
    </w:p>
    <w:p w:rsidR="00ED0AB7" w:rsidRPr="00ED0AB7" w:rsidRDefault="00ED0AB7" w:rsidP="000721E0">
      <w:bookmarkStart w:id="0" w:name="_GoBack"/>
      <w:bookmarkEnd w:id="0"/>
    </w:p>
    <w:sectPr w:rsidR="00ED0AB7" w:rsidRPr="00ED0AB7" w:rsidSect="00E513E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0A" w:rsidRDefault="0073070A" w:rsidP="00ED0AB7">
      <w:r>
        <w:separator/>
      </w:r>
    </w:p>
  </w:endnote>
  <w:endnote w:type="continuationSeparator" w:id="0">
    <w:p w:rsidR="0073070A" w:rsidRDefault="0073070A"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0A" w:rsidRDefault="0073070A" w:rsidP="00ED0AB7">
      <w:r>
        <w:separator/>
      </w:r>
    </w:p>
  </w:footnote>
  <w:footnote w:type="continuationSeparator" w:id="0">
    <w:p w:rsidR="0073070A" w:rsidRDefault="0073070A"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p>
  <w:p w:rsidR="006D134A" w:rsidRPr="00ED0AB7" w:rsidRDefault="006D134A">
    <w:pPr>
      <w:pStyle w:val="Header"/>
    </w:pPr>
    <w:r w:rsidRPr="00ED0AB7">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6"/>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0A"/>
    <w:rsid w:val="000721E0"/>
    <w:rsid w:val="00261742"/>
    <w:rsid w:val="00265F5D"/>
    <w:rsid w:val="00355AED"/>
    <w:rsid w:val="003A4D24"/>
    <w:rsid w:val="00467CE3"/>
    <w:rsid w:val="00471CE5"/>
    <w:rsid w:val="004C3B01"/>
    <w:rsid w:val="006336FF"/>
    <w:rsid w:val="00681494"/>
    <w:rsid w:val="006D134A"/>
    <w:rsid w:val="0073070A"/>
    <w:rsid w:val="007D5B9B"/>
    <w:rsid w:val="008C529D"/>
    <w:rsid w:val="009511B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3070A"/>
    <w:rPr>
      <w:rFonts w:eastAsiaTheme="minorHAnsi" w:cstheme="minorBidi"/>
      <w:szCs w:val="22"/>
      <w:lang w:eastAsia="en-US"/>
    </w:rPr>
  </w:style>
  <w:style w:type="paragraph" w:styleId="Heading1">
    <w:name w:val="heading 1"/>
    <w:aliases w:val="Hat"/>
    <w:basedOn w:val="Normal"/>
    <w:next w:val="Normal"/>
    <w:link w:val="Heading1Char"/>
    <w:uiPriority w:val="1"/>
    <w:qFormat/>
    <w:rsid w:val="0073070A"/>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73070A"/>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73070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730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070A"/>
  </w:style>
  <w:style w:type="character" w:styleId="Emphasis">
    <w:name w:val="Emphasis"/>
    <w:basedOn w:val="DefaultParagraphFont"/>
    <w:uiPriority w:val="6"/>
    <w:qFormat/>
    <w:rsid w:val="0073070A"/>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73070A"/>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73070A"/>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73070A"/>
    <w:rPr>
      <w:rFonts w:eastAsiaTheme="majorEastAsia" w:cstheme="majorBidi"/>
      <w:b/>
      <w:bCs/>
      <w:sz w:val="26"/>
      <w:szCs w:val="22"/>
      <w:lang w:eastAsia="en-US"/>
    </w:rPr>
  </w:style>
  <w:style w:type="character" w:customStyle="1" w:styleId="StyleBold">
    <w:name w:val="Style Bold"/>
    <w:basedOn w:val="DefaultParagraphFont"/>
    <w:uiPriority w:val="9"/>
    <w:semiHidden/>
    <w:rsid w:val="0073070A"/>
    <w:rPr>
      <w:b/>
      <w:bCs/>
    </w:rPr>
  </w:style>
  <w:style w:type="character" w:customStyle="1" w:styleId="StyleBoldUnderline">
    <w:name w:val="Style Bold Underline"/>
    <w:aliases w:val="Underline"/>
    <w:basedOn w:val="DefaultParagraphFont"/>
    <w:uiPriority w:val="5"/>
    <w:qFormat/>
    <w:rsid w:val="0073070A"/>
    <w:rPr>
      <w:b/>
      <w:bCs/>
      <w:u w:val="single"/>
    </w:rPr>
  </w:style>
  <w:style w:type="character" w:customStyle="1" w:styleId="StyleStyleBold12pt">
    <w:name w:val="Style Style Bold + 12 pt"/>
    <w:aliases w:val="Cite"/>
    <w:basedOn w:val="StyleBold"/>
    <w:uiPriority w:val="4"/>
    <w:qFormat/>
    <w:rsid w:val="0073070A"/>
    <w:rPr>
      <w:b/>
      <w:bCs/>
      <w:sz w:val="26"/>
    </w:rPr>
  </w:style>
  <w:style w:type="paragraph" w:styleId="DocumentMap">
    <w:name w:val="Document Map"/>
    <w:basedOn w:val="Normal"/>
    <w:link w:val="DocumentMapChar"/>
    <w:uiPriority w:val="99"/>
    <w:semiHidden/>
    <w:unhideWhenUsed/>
    <w:rsid w:val="0073070A"/>
    <w:rPr>
      <w:rFonts w:ascii="Lucida Grande" w:hAnsi="Lucida Grande"/>
      <w:sz w:val="24"/>
      <w:szCs w:val="24"/>
    </w:rPr>
  </w:style>
  <w:style w:type="character" w:customStyle="1" w:styleId="DocumentMapChar">
    <w:name w:val="Document Map Char"/>
    <w:basedOn w:val="DefaultParagraphFont"/>
    <w:link w:val="DocumentMap"/>
    <w:uiPriority w:val="99"/>
    <w:semiHidden/>
    <w:rsid w:val="0073070A"/>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73070A"/>
    <w:pPr>
      <w:tabs>
        <w:tab w:val="center" w:pos="4680"/>
        <w:tab w:val="right" w:pos="9360"/>
      </w:tabs>
    </w:pPr>
  </w:style>
  <w:style w:type="character" w:customStyle="1" w:styleId="HeaderChar">
    <w:name w:val="Header Char"/>
    <w:basedOn w:val="DefaultParagraphFont"/>
    <w:link w:val="Header"/>
    <w:uiPriority w:val="99"/>
    <w:rsid w:val="0073070A"/>
    <w:rPr>
      <w:rFonts w:eastAsiaTheme="minorHAnsi" w:cstheme="minorBidi"/>
      <w:szCs w:val="22"/>
      <w:lang w:eastAsia="en-US"/>
    </w:rPr>
  </w:style>
  <w:style w:type="paragraph" w:styleId="Footer">
    <w:name w:val="footer"/>
    <w:basedOn w:val="Normal"/>
    <w:link w:val="FooterChar"/>
    <w:uiPriority w:val="99"/>
    <w:unhideWhenUsed/>
    <w:rsid w:val="0073070A"/>
    <w:pPr>
      <w:tabs>
        <w:tab w:val="center" w:pos="4680"/>
        <w:tab w:val="right" w:pos="9360"/>
      </w:tabs>
    </w:pPr>
  </w:style>
  <w:style w:type="character" w:customStyle="1" w:styleId="FooterChar">
    <w:name w:val="Footer Char"/>
    <w:basedOn w:val="DefaultParagraphFont"/>
    <w:link w:val="Footer"/>
    <w:uiPriority w:val="99"/>
    <w:rsid w:val="0073070A"/>
    <w:rPr>
      <w:rFonts w:eastAsiaTheme="minorHAnsi" w:cstheme="minorBidi"/>
      <w:szCs w:val="22"/>
      <w:lang w:eastAsia="en-US"/>
    </w:rPr>
  </w:style>
  <w:style w:type="character" w:customStyle="1" w:styleId="cite">
    <w:name w:val="cite"/>
    <w:basedOn w:val="DefaultParagraphFont"/>
    <w:rsid w:val="0073070A"/>
    <w:rPr>
      <w:rFonts w:ascii="Georgia" w:hAnsi="Georgia"/>
      <w:b/>
      <w:sz w:val="24"/>
      <w:u w:val="single"/>
    </w:rPr>
  </w:style>
  <w:style w:type="paragraph" w:customStyle="1" w:styleId="tag">
    <w:name w:val="tag"/>
    <w:basedOn w:val="Normal"/>
    <w:next w:val="Normal"/>
    <w:rsid w:val="0073070A"/>
    <w:pPr>
      <w:spacing w:after="120"/>
      <w:outlineLvl w:val="2"/>
    </w:pPr>
    <w:rPr>
      <w:b/>
      <w:sz w:val="24"/>
    </w:rPr>
  </w:style>
  <w:style w:type="paragraph" w:customStyle="1" w:styleId="card">
    <w:name w:val="card"/>
    <w:basedOn w:val="Normal"/>
    <w:next w:val="Normal"/>
    <w:link w:val="cardChar"/>
    <w:rsid w:val="0073070A"/>
    <w:pPr>
      <w:spacing w:before="120" w:after="120"/>
    </w:pPr>
    <w:rPr>
      <w:sz w:val="16"/>
    </w:rPr>
  </w:style>
  <w:style w:type="character" w:customStyle="1" w:styleId="underline">
    <w:name w:val="underline"/>
    <w:basedOn w:val="DefaultParagraphFont"/>
    <w:rsid w:val="0073070A"/>
    <w:rPr>
      <w:rFonts w:ascii="Georgia" w:hAnsi="Georgia"/>
      <w:sz w:val="24"/>
      <w:u w:val="thick"/>
    </w:rPr>
  </w:style>
  <w:style w:type="paragraph" w:customStyle="1" w:styleId="BlockTitle">
    <w:name w:val="Block Title"/>
    <w:basedOn w:val="Heading1"/>
    <w:next w:val="Normal"/>
    <w:link w:val="BlockTitleChar"/>
    <w:rsid w:val="0073070A"/>
    <w:pPr>
      <w:keepLines w:val="0"/>
      <w:pageBreakBefore w:val="0"/>
      <w:spacing w:before="0" w:after="240"/>
      <w:outlineLvl w:val="1"/>
    </w:pPr>
    <w:rPr>
      <w:rFonts w:ascii="Georgia" w:eastAsia="Times New Roman" w:hAnsi="Georgia" w:cs="Arial"/>
      <w:kern w:val="32"/>
      <w:sz w:val="28"/>
      <w:szCs w:val="32"/>
      <w:u w:val="single"/>
    </w:rPr>
  </w:style>
  <w:style w:type="character" w:customStyle="1" w:styleId="cardChar">
    <w:name w:val="card Char"/>
    <w:basedOn w:val="DefaultParagraphFont"/>
    <w:link w:val="card"/>
    <w:rsid w:val="0073070A"/>
    <w:rPr>
      <w:rFonts w:ascii="Georgia" w:eastAsia="Times New Roman" w:hAnsi="Georgia"/>
      <w:sz w:val="16"/>
      <w:lang w:eastAsia="en-US"/>
    </w:rPr>
  </w:style>
  <w:style w:type="character" w:customStyle="1" w:styleId="BlockTitleChar">
    <w:name w:val="Block Title Char"/>
    <w:basedOn w:val="Header"/>
    <w:link w:val="BlockTitle"/>
    <w:rsid w:val="0073070A"/>
    <w:rPr>
      <w:rFonts w:ascii="Georgia" w:eastAsia="Times New Roman" w:hAnsi="Georgia" w:cs="Arial"/>
      <w:b/>
      <w:bCs/>
      <w:kern w:val="32"/>
      <w:sz w:val="28"/>
      <w:szCs w:val="32"/>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3070A"/>
    <w:rPr>
      <w:rFonts w:eastAsiaTheme="minorHAnsi" w:cstheme="minorBidi"/>
      <w:szCs w:val="22"/>
      <w:lang w:eastAsia="en-US"/>
    </w:rPr>
  </w:style>
  <w:style w:type="paragraph" w:styleId="Heading1">
    <w:name w:val="heading 1"/>
    <w:aliases w:val="Hat"/>
    <w:basedOn w:val="Normal"/>
    <w:next w:val="Normal"/>
    <w:link w:val="Heading1Char"/>
    <w:uiPriority w:val="1"/>
    <w:qFormat/>
    <w:rsid w:val="0073070A"/>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73070A"/>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73070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730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070A"/>
  </w:style>
  <w:style w:type="character" w:styleId="Emphasis">
    <w:name w:val="Emphasis"/>
    <w:basedOn w:val="DefaultParagraphFont"/>
    <w:uiPriority w:val="6"/>
    <w:qFormat/>
    <w:rsid w:val="0073070A"/>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73070A"/>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73070A"/>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73070A"/>
    <w:rPr>
      <w:rFonts w:eastAsiaTheme="majorEastAsia" w:cstheme="majorBidi"/>
      <w:b/>
      <w:bCs/>
      <w:sz w:val="26"/>
      <w:szCs w:val="22"/>
      <w:lang w:eastAsia="en-US"/>
    </w:rPr>
  </w:style>
  <w:style w:type="character" w:customStyle="1" w:styleId="StyleBold">
    <w:name w:val="Style Bold"/>
    <w:basedOn w:val="DefaultParagraphFont"/>
    <w:uiPriority w:val="9"/>
    <w:semiHidden/>
    <w:rsid w:val="0073070A"/>
    <w:rPr>
      <w:b/>
      <w:bCs/>
    </w:rPr>
  </w:style>
  <w:style w:type="character" w:customStyle="1" w:styleId="StyleBoldUnderline">
    <w:name w:val="Style Bold Underline"/>
    <w:aliases w:val="Underline"/>
    <w:basedOn w:val="DefaultParagraphFont"/>
    <w:uiPriority w:val="5"/>
    <w:qFormat/>
    <w:rsid w:val="0073070A"/>
    <w:rPr>
      <w:b/>
      <w:bCs/>
      <w:u w:val="single"/>
    </w:rPr>
  </w:style>
  <w:style w:type="character" w:customStyle="1" w:styleId="StyleStyleBold12pt">
    <w:name w:val="Style Style Bold + 12 pt"/>
    <w:aliases w:val="Cite"/>
    <w:basedOn w:val="StyleBold"/>
    <w:uiPriority w:val="4"/>
    <w:qFormat/>
    <w:rsid w:val="0073070A"/>
    <w:rPr>
      <w:b/>
      <w:bCs/>
      <w:sz w:val="26"/>
    </w:rPr>
  </w:style>
  <w:style w:type="paragraph" w:styleId="DocumentMap">
    <w:name w:val="Document Map"/>
    <w:basedOn w:val="Normal"/>
    <w:link w:val="DocumentMapChar"/>
    <w:uiPriority w:val="99"/>
    <w:semiHidden/>
    <w:unhideWhenUsed/>
    <w:rsid w:val="0073070A"/>
    <w:rPr>
      <w:rFonts w:ascii="Lucida Grande" w:hAnsi="Lucida Grande"/>
      <w:sz w:val="24"/>
      <w:szCs w:val="24"/>
    </w:rPr>
  </w:style>
  <w:style w:type="character" w:customStyle="1" w:styleId="DocumentMapChar">
    <w:name w:val="Document Map Char"/>
    <w:basedOn w:val="DefaultParagraphFont"/>
    <w:link w:val="DocumentMap"/>
    <w:uiPriority w:val="99"/>
    <w:semiHidden/>
    <w:rsid w:val="0073070A"/>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73070A"/>
    <w:pPr>
      <w:tabs>
        <w:tab w:val="center" w:pos="4680"/>
        <w:tab w:val="right" w:pos="9360"/>
      </w:tabs>
    </w:pPr>
  </w:style>
  <w:style w:type="character" w:customStyle="1" w:styleId="HeaderChar">
    <w:name w:val="Header Char"/>
    <w:basedOn w:val="DefaultParagraphFont"/>
    <w:link w:val="Header"/>
    <w:uiPriority w:val="99"/>
    <w:rsid w:val="0073070A"/>
    <w:rPr>
      <w:rFonts w:eastAsiaTheme="minorHAnsi" w:cstheme="minorBidi"/>
      <w:szCs w:val="22"/>
      <w:lang w:eastAsia="en-US"/>
    </w:rPr>
  </w:style>
  <w:style w:type="paragraph" w:styleId="Footer">
    <w:name w:val="footer"/>
    <w:basedOn w:val="Normal"/>
    <w:link w:val="FooterChar"/>
    <w:uiPriority w:val="99"/>
    <w:unhideWhenUsed/>
    <w:rsid w:val="0073070A"/>
    <w:pPr>
      <w:tabs>
        <w:tab w:val="center" w:pos="4680"/>
        <w:tab w:val="right" w:pos="9360"/>
      </w:tabs>
    </w:pPr>
  </w:style>
  <w:style w:type="character" w:customStyle="1" w:styleId="FooterChar">
    <w:name w:val="Footer Char"/>
    <w:basedOn w:val="DefaultParagraphFont"/>
    <w:link w:val="Footer"/>
    <w:uiPriority w:val="99"/>
    <w:rsid w:val="0073070A"/>
    <w:rPr>
      <w:rFonts w:eastAsiaTheme="minorHAnsi" w:cstheme="minorBidi"/>
      <w:szCs w:val="22"/>
      <w:lang w:eastAsia="en-US"/>
    </w:rPr>
  </w:style>
  <w:style w:type="character" w:customStyle="1" w:styleId="cite">
    <w:name w:val="cite"/>
    <w:basedOn w:val="DefaultParagraphFont"/>
    <w:rsid w:val="0073070A"/>
    <w:rPr>
      <w:rFonts w:ascii="Georgia" w:hAnsi="Georgia"/>
      <w:b/>
      <w:sz w:val="24"/>
      <w:u w:val="single"/>
    </w:rPr>
  </w:style>
  <w:style w:type="paragraph" w:customStyle="1" w:styleId="tag">
    <w:name w:val="tag"/>
    <w:basedOn w:val="Normal"/>
    <w:next w:val="Normal"/>
    <w:rsid w:val="0073070A"/>
    <w:pPr>
      <w:spacing w:after="120"/>
      <w:outlineLvl w:val="2"/>
    </w:pPr>
    <w:rPr>
      <w:b/>
      <w:sz w:val="24"/>
    </w:rPr>
  </w:style>
  <w:style w:type="paragraph" w:customStyle="1" w:styleId="card">
    <w:name w:val="card"/>
    <w:basedOn w:val="Normal"/>
    <w:next w:val="Normal"/>
    <w:link w:val="cardChar"/>
    <w:rsid w:val="0073070A"/>
    <w:pPr>
      <w:spacing w:before="120" w:after="120"/>
    </w:pPr>
    <w:rPr>
      <w:sz w:val="16"/>
    </w:rPr>
  </w:style>
  <w:style w:type="character" w:customStyle="1" w:styleId="underline">
    <w:name w:val="underline"/>
    <w:basedOn w:val="DefaultParagraphFont"/>
    <w:rsid w:val="0073070A"/>
    <w:rPr>
      <w:rFonts w:ascii="Georgia" w:hAnsi="Georgia"/>
      <w:sz w:val="24"/>
      <w:u w:val="thick"/>
    </w:rPr>
  </w:style>
  <w:style w:type="paragraph" w:customStyle="1" w:styleId="BlockTitle">
    <w:name w:val="Block Title"/>
    <w:basedOn w:val="Heading1"/>
    <w:next w:val="Normal"/>
    <w:link w:val="BlockTitleChar"/>
    <w:rsid w:val="0073070A"/>
    <w:pPr>
      <w:keepLines w:val="0"/>
      <w:pageBreakBefore w:val="0"/>
      <w:spacing w:before="0" w:after="240"/>
      <w:outlineLvl w:val="1"/>
    </w:pPr>
    <w:rPr>
      <w:rFonts w:ascii="Georgia" w:eastAsia="Times New Roman" w:hAnsi="Georgia" w:cs="Arial"/>
      <w:kern w:val="32"/>
      <w:sz w:val="28"/>
      <w:szCs w:val="32"/>
      <w:u w:val="single"/>
    </w:rPr>
  </w:style>
  <w:style w:type="character" w:customStyle="1" w:styleId="cardChar">
    <w:name w:val="card Char"/>
    <w:basedOn w:val="DefaultParagraphFont"/>
    <w:link w:val="card"/>
    <w:rsid w:val="0073070A"/>
    <w:rPr>
      <w:rFonts w:ascii="Georgia" w:eastAsia="Times New Roman" w:hAnsi="Georgia"/>
      <w:sz w:val="16"/>
      <w:lang w:eastAsia="en-US"/>
    </w:rPr>
  </w:style>
  <w:style w:type="character" w:customStyle="1" w:styleId="BlockTitleChar">
    <w:name w:val="Block Title Char"/>
    <w:basedOn w:val="Header"/>
    <w:link w:val="BlockTitle"/>
    <w:rsid w:val="0073070A"/>
    <w:rPr>
      <w:rFonts w:ascii="Georgia" w:eastAsia="Times New Roman" w:hAnsi="Georgia" w:cs="Arial"/>
      <w:b/>
      <w:bCs/>
      <w:kern w:val="32"/>
      <w:sz w:val="28"/>
      <w:szCs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Pages>
  <Words>1093</Words>
  <Characters>6235</Characters>
  <Application>Microsoft Macintosh Word</Application>
  <DocSecurity>0</DocSecurity>
  <Lines>51</Lines>
  <Paragraphs>14</Paragraphs>
  <ScaleCrop>false</ScaleCrop>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2011-08-02T00:33:00Z</dcterms:created>
  <dcterms:modified xsi:type="dcterms:W3CDTF">2011-08-02T00:37:00Z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