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0F" w:rsidRDefault="00B2350F" w:rsidP="008508D8">
      <w:pPr>
        <w:pStyle w:val="Heading2"/>
      </w:pPr>
      <w:bookmarkStart w:id="0" w:name="_Toc329165942"/>
      <w:bookmarkStart w:id="1" w:name="_GoBack"/>
      <w:bookmarkEnd w:id="1"/>
      <w:r>
        <w:t>Topicality “Investment” = Not Loan Guarantees</w:t>
      </w:r>
      <w:bookmarkEnd w:id="0"/>
    </w:p>
    <w:p w:rsidR="008508D8" w:rsidRDefault="008508D8" w:rsidP="008508D8"/>
    <w:sdt>
      <w:sdtPr>
        <w:rPr>
          <w:rFonts w:ascii="Calibri" w:eastAsiaTheme="minorHAnsi" w:hAnsi="Calibri" w:cstheme="minorBidi"/>
          <w:b w:val="0"/>
          <w:bCs w:val="0"/>
          <w:color w:val="auto"/>
          <w:sz w:val="22"/>
          <w:szCs w:val="22"/>
          <w:lang w:eastAsia="en-US"/>
        </w:rPr>
        <w:id w:val="414673775"/>
        <w:docPartObj>
          <w:docPartGallery w:val="Table of Contents"/>
          <w:docPartUnique/>
        </w:docPartObj>
      </w:sdtPr>
      <w:sdtEndPr>
        <w:rPr>
          <w:noProof/>
        </w:rPr>
      </w:sdtEndPr>
      <w:sdtContent>
        <w:p w:rsidR="006552E9" w:rsidRDefault="006552E9">
          <w:pPr>
            <w:pStyle w:val="TOCHeading"/>
          </w:pPr>
          <w:r>
            <w:t>Table of Contents</w:t>
          </w:r>
        </w:p>
        <w:p w:rsidR="006552E9" w:rsidRDefault="006552E9">
          <w:pPr>
            <w:pStyle w:val="TOC2"/>
            <w:tabs>
              <w:tab w:val="right" w:leader="dot" w:pos="9350"/>
            </w:tabs>
            <w:rPr>
              <w:noProof/>
            </w:rPr>
          </w:pPr>
          <w:r>
            <w:fldChar w:fldCharType="begin"/>
          </w:r>
          <w:r>
            <w:instrText xml:space="preserve"> TOC \o "1-3" \h \z \u </w:instrText>
          </w:r>
          <w:r>
            <w:fldChar w:fldCharType="separate"/>
          </w:r>
          <w:hyperlink w:anchor="_Toc329165942" w:history="1">
            <w:r w:rsidRPr="00EA198F">
              <w:rPr>
                <w:rStyle w:val="Hyperlink"/>
                <w:noProof/>
              </w:rPr>
              <w:t>Topicality “Investment” = Not Loan Guarantees</w:t>
            </w:r>
            <w:r>
              <w:rPr>
                <w:noProof/>
                <w:webHidden/>
              </w:rPr>
              <w:tab/>
            </w:r>
            <w:r>
              <w:rPr>
                <w:noProof/>
                <w:webHidden/>
              </w:rPr>
              <w:fldChar w:fldCharType="begin"/>
            </w:r>
            <w:r>
              <w:rPr>
                <w:noProof/>
                <w:webHidden/>
              </w:rPr>
              <w:instrText xml:space="preserve"> PAGEREF _Toc329165942 \h </w:instrText>
            </w:r>
            <w:r>
              <w:rPr>
                <w:noProof/>
                <w:webHidden/>
              </w:rPr>
            </w:r>
            <w:r>
              <w:rPr>
                <w:noProof/>
                <w:webHidden/>
              </w:rPr>
              <w:fldChar w:fldCharType="separate"/>
            </w:r>
            <w:r>
              <w:rPr>
                <w:noProof/>
                <w:webHidden/>
              </w:rPr>
              <w:t>1</w:t>
            </w:r>
            <w:r>
              <w:rPr>
                <w:noProof/>
                <w:webHidden/>
              </w:rPr>
              <w:fldChar w:fldCharType="end"/>
            </w:r>
          </w:hyperlink>
        </w:p>
        <w:p w:rsidR="006552E9" w:rsidRDefault="006A7B7E">
          <w:pPr>
            <w:pStyle w:val="TOC3"/>
            <w:tabs>
              <w:tab w:val="right" w:leader="dot" w:pos="9350"/>
            </w:tabs>
            <w:rPr>
              <w:noProof/>
            </w:rPr>
          </w:pPr>
          <w:hyperlink w:anchor="_Toc329165943" w:history="1">
            <w:r w:rsidR="006552E9" w:rsidRPr="00EA198F">
              <w:rPr>
                <w:rStyle w:val="Hyperlink"/>
                <w:noProof/>
              </w:rPr>
              <w:t>1NC</w:t>
            </w:r>
            <w:r w:rsidR="006552E9">
              <w:rPr>
                <w:noProof/>
                <w:webHidden/>
              </w:rPr>
              <w:tab/>
            </w:r>
            <w:r w:rsidR="006552E9">
              <w:rPr>
                <w:noProof/>
                <w:webHidden/>
              </w:rPr>
              <w:fldChar w:fldCharType="begin"/>
            </w:r>
            <w:r w:rsidR="006552E9">
              <w:rPr>
                <w:noProof/>
                <w:webHidden/>
              </w:rPr>
              <w:instrText xml:space="preserve"> PAGEREF _Toc329165943 \h </w:instrText>
            </w:r>
            <w:r w:rsidR="006552E9">
              <w:rPr>
                <w:noProof/>
                <w:webHidden/>
              </w:rPr>
            </w:r>
            <w:r w:rsidR="006552E9">
              <w:rPr>
                <w:noProof/>
                <w:webHidden/>
              </w:rPr>
              <w:fldChar w:fldCharType="separate"/>
            </w:r>
            <w:r w:rsidR="006552E9">
              <w:rPr>
                <w:noProof/>
                <w:webHidden/>
              </w:rPr>
              <w:t>2</w:t>
            </w:r>
            <w:r w:rsidR="006552E9">
              <w:rPr>
                <w:noProof/>
                <w:webHidden/>
              </w:rPr>
              <w:fldChar w:fldCharType="end"/>
            </w:r>
          </w:hyperlink>
        </w:p>
        <w:p w:rsidR="006552E9" w:rsidRDefault="006A7B7E">
          <w:pPr>
            <w:pStyle w:val="TOC3"/>
            <w:tabs>
              <w:tab w:val="right" w:leader="dot" w:pos="9350"/>
            </w:tabs>
            <w:rPr>
              <w:noProof/>
            </w:rPr>
          </w:pPr>
          <w:hyperlink w:anchor="_Toc329165944" w:history="1">
            <w:r w:rsidR="006552E9" w:rsidRPr="00EA198F">
              <w:rPr>
                <w:rStyle w:val="Hyperlink"/>
                <w:noProof/>
              </w:rPr>
              <w:t>2NC Ext. Loan Guarantees =/= Investment</w:t>
            </w:r>
            <w:r w:rsidR="006552E9">
              <w:rPr>
                <w:noProof/>
                <w:webHidden/>
              </w:rPr>
              <w:tab/>
            </w:r>
            <w:r w:rsidR="006552E9">
              <w:rPr>
                <w:noProof/>
                <w:webHidden/>
              </w:rPr>
              <w:fldChar w:fldCharType="begin"/>
            </w:r>
            <w:r w:rsidR="006552E9">
              <w:rPr>
                <w:noProof/>
                <w:webHidden/>
              </w:rPr>
              <w:instrText xml:space="preserve"> PAGEREF _Toc329165944 \h </w:instrText>
            </w:r>
            <w:r w:rsidR="006552E9">
              <w:rPr>
                <w:noProof/>
                <w:webHidden/>
              </w:rPr>
            </w:r>
            <w:r w:rsidR="006552E9">
              <w:rPr>
                <w:noProof/>
                <w:webHidden/>
              </w:rPr>
              <w:fldChar w:fldCharType="separate"/>
            </w:r>
            <w:r w:rsidR="006552E9">
              <w:rPr>
                <w:noProof/>
                <w:webHidden/>
              </w:rPr>
              <w:t>3</w:t>
            </w:r>
            <w:r w:rsidR="006552E9">
              <w:rPr>
                <w:noProof/>
                <w:webHidden/>
              </w:rPr>
              <w:fldChar w:fldCharType="end"/>
            </w:r>
          </w:hyperlink>
        </w:p>
        <w:p w:rsidR="006552E9" w:rsidRDefault="006A7B7E">
          <w:pPr>
            <w:pStyle w:val="TOC2"/>
            <w:tabs>
              <w:tab w:val="right" w:leader="dot" w:pos="9350"/>
            </w:tabs>
            <w:rPr>
              <w:noProof/>
            </w:rPr>
          </w:pPr>
          <w:hyperlink w:anchor="_Toc329165945" w:history="1">
            <w:r w:rsidR="006552E9" w:rsidRPr="00EA198F">
              <w:rPr>
                <w:rStyle w:val="Hyperlink"/>
                <w:noProof/>
              </w:rPr>
              <w:t>Aff Answers</w:t>
            </w:r>
            <w:r w:rsidR="006552E9">
              <w:rPr>
                <w:noProof/>
                <w:webHidden/>
              </w:rPr>
              <w:tab/>
            </w:r>
            <w:r w:rsidR="006552E9">
              <w:rPr>
                <w:noProof/>
                <w:webHidden/>
              </w:rPr>
              <w:fldChar w:fldCharType="begin"/>
            </w:r>
            <w:r w:rsidR="006552E9">
              <w:rPr>
                <w:noProof/>
                <w:webHidden/>
              </w:rPr>
              <w:instrText xml:space="preserve"> PAGEREF _Toc329165945 \h </w:instrText>
            </w:r>
            <w:r w:rsidR="006552E9">
              <w:rPr>
                <w:noProof/>
                <w:webHidden/>
              </w:rPr>
            </w:r>
            <w:r w:rsidR="006552E9">
              <w:rPr>
                <w:noProof/>
                <w:webHidden/>
              </w:rPr>
              <w:fldChar w:fldCharType="separate"/>
            </w:r>
            <w:r w:rsidR="006552E9">
              <w:rPr>
                <w:noProof/>
                <w:webHidden/>
              </w:rPr>
              <w:t>4</w:t>
            </w:r>
            <w:r w:rsidR="006552E9">
              <w:rPr>
                <w:noProof/>
                <w:webHidden/>
              </w:rPr>
              <w:fldChar w:fldCharType="end"/>
            </w:r>
          </w:hyperlink>
        </w:p>
        <w:p w:rsidR="006552E9" w:rsidRDefault="006A7B7E">
          <w:pPr>
            <w:pStyle w:val="TOC2"/>
            <w:tabs>
              <w:tab w:val="right" w:leader="dot" w:pos="9350"/>
            </w:tabs>
            <w:rPr>
              <w:noProof/>
            </w:rPr>
          </w:pPr>
          <w:hyperlink w:anchor="_Toc329165946" w:history="1">
            <w:r w:rsidR="006552E9" w:rsidRPr="00EA198F">
              <w:rPr>
                <w:rStyle w:val="Hyperlink"/>
                <w:noProof/>
              </w:rPr>
              <w:t>Transportation Infrastructure</w:t>
            </w:r>
            <w:r w:rsidR="006552E9">
              <w:rPr>
                <w:noProof/>
                <w:webHidden/>
              </w:rPr>
              <w:tab/>
            </w:r>
            <w:r w:rsidR="006552E9">
              <w:rPr>
                <w:noProof/>
                <w:webHidden/>
              </w:rPr>
              <w:fldChar w:fldCharType="begin"/>
            </w:r>
            <w:r w:rsidR="006552E9">
              <w:rPr>
                <w:noProof/>
                <w:webHidden/>
              </w:rPr>
              <w:instrText xml:space="preserve"> PAGEREF _Toc329165946 \h </w:instrText>
            </w:r>
            <w:r w:rsidR="006552E9">
              <w:rPr>
                <w:noProof/>
                <w:webHidden/>
              </w:rPr>
            </w:r>
            <w:r w:rsidR="006552E9">
              <w:rPr>
                <w:noProof/>
                <w:webHidden/>
              </w:rPr>
              <w:fldChar w:fldCharType="separate"/>
            </w:r>
            <w:r w:rsidR="006552E9">
              <w:rPr>
                <w:noProof/>
                <w:webHidden/>
              </w:rPr>
              <w:t>5</w:t>
            </w:r>
            <w:r w:rsidR="006552E9">
              <w:rPr>
                <w:noProof/>
                <w:webHidden/>
              </w:rPr>
              <w:fldChar w:fldCharType="end"/>
            </w:r>
          </w:hyperlink>
        </w:p>
        <w:p w:rsidR="006552E9" w:rsidRDefault="006552E9">
          <w:r>
            <w:rPr>
              <w:b/>
              <w:bCs/>
              <w:noProof/>
            </w:rPr>
            <w:fldChar w:fldCharType="end"/>
          </w:r>
        </w:p>
      </w:sdtContent>
    </w:sdt>
    <w:p w:rsidR="006552E9" w:rsidRDefault="006552E9" w:rsidP="008508D8"/>
    <w:p w:rsidR="008508D8" w:rsidRPr="008508D8" w:rsidRDefault="008508D8" w:rsidP="008508D8">
      <w:pPr>
        <w:pStyle w:val="Heading3"/>
      </w:pPr>
      <w:bookmarkStart w:id="2" w:name="_Toc329165943"/>
      <w:r>
        <w:lastRenderedPageBreak/>
        <w:t>1NC</w:t>
      </w:r>
      <w:bookmarkEnd w:id="2"/>
    </w:p>
    <w:p w:rsidR="00E0482C" w:rsidRDefault="00B2350F" w:rsidP="0068559B">
      <w:pPr>
        <w:pStyle w:val="Heading4"/>
      </w:pPr>
      <w:r>
        <w:t xml:space="preserve">A. Interpretation - </w:t>
      </w:r>
      <w:r w:rsidR="00E0482C" w:rsidRPr="00B2350F">
        <w:rPr>
          <w:u w:val="single"/>
        </w:rPr>
        <w:t xml:space="preserve">Investment </w:t>
      </w:r>
      <w:r w:rsidR="0068559B">
        <w:t>requires the government receive shares in the project</w:t>
      </w:r>
      <w:r w:rsidR="00375A9C">
        <w:t xml:space="preserve">, </w:t>
      </w:r>
      <w:r w:rsidR="00375A9C" w:rsidRPr="00B2350F">
        <w:rPr>
          <w:u w:val="single"/>
        </w:rPr>
        <w:t>excludes loan guarantees</w:t>
      </w:r>
      <w:r w:rsidR="00375A9C">
        <w:t xml:space="preserve"> </w:t>
      </w:r>
      <w:r w:rsidR="00E0482C">
        <w:t xml:space="preserve"> </w:t>
      </w:r>
    </w:p>
    <w:p w:rsidR="009B46E9" w:rsidRDefault="009B46E9" w:rsidP="00087BDA">
      <w:r>
        <w:t xml:space="preserve">Van Son </w:t>
      </w:r>
      <w:r w:rsidRPr="00367466">
        <w:rPr>
          <w:rStyle w:val="StyleStyleBold12pt"/>
        </w:rPr>
        <w:t>Lai and</w:t>
      </w:r>
      <w:r>
        <w:t xml:space="preserve"> </w:t>
      </w:r>
      <w:proofErr w:type="spellStart"/>
      <w:r>
        <w:t>Issouf</w:t>
      </w:r>
      <w:proofErr w:type="spellEnd"/>
      <w:r>
        <w:t xml:space="preserve"> </w:t>
      </w:r>
      <w:proofErr w:type="spellStart"/>
      <w:r w:rsidRPr="00367466">
        <w:rPr>
          <w:rStyle w:val="StyleStyleBold12pt"/>
        </w:rPr>
        <w:t>Soumare</w:t>
      </w:r>
      <w:proofErr w:type="spellEnd"/>
      <w:r w:rsidR="00E0482C" w:rsidRPr="00367466">
        <w:rPr>
          <w:rStyle w:val="StyleStyleBold12pt"/>
        </w:rPr>
        <w:t xml:space="preserve"> </w:t>
      </w:r>
      <w:r w:rsidR="00367466" w:rsidRPr="00367466">
        <w:rPr>
          <w:rStyle w:val="StyleStyleBold12pt"/>
        </w:rPr>
        <w:t>9</w:t>
      </w:r>
      <w:r w:rsidR="00367466">
        <w:t xml:space="preserve"> (</w:t>
      </w:r>
      <w:r>
        <w:t xml:space="preserve">“An Analysis of Government Loan Guarantees and Direct Investment through Public-Private Partnerships,” </w:t>
      </w:r>
      <w:r w:rsidR="00E0482C">
        <w:t xml:space="preserve">4-3-9, </w:t>
      </w:r>
      <w:hyperlink r:id="rId12" w:history="1">
        <w:r w:rsidR="00E0482C" w:rsidRPr="004C7321">
          <w:rPr>
            <w:rStyle w:val="Hyperlink"/>
          </w:rPr>
          <w:t>http://www.efmaefm.org/0EFMAMEETINGS/EFMA%20ANNUAL%20MEETINGS/2009-milan/EFMA2009_0368_fullpaper.pdf</w:t>
        </w:r>
      </w:hyperlink>
      <w:r w:rsidR="00E0482C">
        <w:t xml:space="preserve">) </w:t>
      </w:r>
    </w:p>
    <w:p w:rsidR="00E0482C" w:rsidRDefault="00E0482C" w:rsidP="00087BDA"/>
    <w:p w:rsidR="009B46E9" w:rsidRDefault="009B46E9" w:rsidP="009B46E9">
      <w:r w:rsidRPr="0068559B">
        <w:rPr>
          <w:rStyle w:val="StyleBoldUnderline"/>
        </w:rPr>
        <w:t xml:space="preserve">This paper </w:t>
      </w:r>
      <w:r w:rsidRPr="0068559B">
        <w:rPr>
          <w:rStyle w:val="StyleBoldUnderline"/>
          <w:highlight w:val="yellow"/>
        </w:rPr>
        <w:t>compares two forms of government support: loan guarantee and direct investment</w:t>
      </w:r>
      <w:r w:rsidRPr="0068559B">
        <w:rPr>
          <w:rStyle w:val="StyleBoldUnderline"/>
        </w:rPr>
        <w:t xml:space="preserve"> through public-private partnerships (PPPs). </w:t>
      </w:r>
      <w:r w:rsidRPr="0068559B">
        <w:rPr>
          <w:rStyle w:val="StyleBoldUnderline"/>
          <w:highlight w:val="yellow"/>
        </w:rPr>
        <w:t>With loan guarantee, government provides financial guarantees t</w:t>
      </w:r>
      <w:r w:rsidRPr="0068559B">
        <w:rPr>
          <w:rStyle w:val="StyleBoldUnderline"/>
        </w:rPr>
        <w:t xml:space="preserve">o enhance project creditworthiness. </w:t>
      </w:r>
      <w:r w:rsidRPr="0068559B">
        <w:rPr>
          <w:rStyle w:val="StyleBoldUnderline"/>
          <w:highlight w:val="yellow"/>
        </w:rPr>
        <w:t xml:space="preserve">With </w:t>
      </w:r>
      <w:r w:rsidRPr="0068559B">
        <w:rPr>
          <w:rStyle w:val="Emphasis"/>
          <w:highlight w:val="yellow"/>
        </w:rPr>
        <w:t>direct investment</w:t>
      </w:r>
      <w:r w:rsidRPr="0068559B">
        <w:rPr>
          <w:rStyle w:val="StyleBoldUnderline"/>
          <w:highlight w:val="yellow"/>
        </w:rPr>
        <w:t>, government invests capital in return for shares in the project</w:t>
      </w:r>
      <w:r w:rsidRPr="0068559B">
        <w:rPr>
          <w:rStyle w:val="StyleBoldUnderline"/>
        </w:rPr>
        <w:t>.</w:t>
      </w:r>
      <w:r>
        <w:t xml:space="preserve"> We find that loan guarantees are more effective in reducing project borrowing costs. In an </w:t>
      </w:r>
      <w:proofErr w:type="spellStart"/>
      <w:r>
        <w:t>informationally</w:t>
      </w:r>
      <w:proofErr w:type="spellEnd"/>
      <w:r>
        <w:t xml:space="preserve"> asymmetric environment, where the government knows less about project quality than do private partners, in other words the so-called plum problem rather than the familiar lemon problem, the project sponsors should seek a loan guarantee from the government, unless they are willing to give up control over the project. We show how the portion of shares given to the government can be a bargaining tool and can mitigate information asymmetry when structuring PPPs.</w:t>
      </w:r>
    </w:p>
    <w:p w:rsidR="00B2350F" w:rsidRDefault="00B2350F" w:rsidP="009B46E9"/>
    <w:p w:rsidR="0006137A" w:rsidRDefault="0006137A" w:rsidP="0006137A">
      <w:pPr>
        <w:pStyle w:val="Heading4"/>
      </w:pPr>
      <w:r>
        <w:t xml:space="preserve">B. Violation – the </w:t>
      </w:r>
      <w:proofErr w:type="spellStart"/>
      <w:r>
        <w:t>aff</w:t>
      </w:r>
      <w:proofErr w:type="spellEnd"/>
      <w:r>
        <w:t xml:space="preserve"> provides loan guarantees, not direct investment. </w:t>
      </w:r>
    </w:p>
    <w:p w:rsidR="0006137A" w:rsidRDefault="0006137A" w:rsidP="0006137A"/>
    <w:p w:rsidR="0006137A" w:rsidRDefault="0006137A" w:rsidP="0006137A">
      <w:pPr>
        <w:pStyle w:val="Heading4"/>
      </w:pPr>
      <w:r>
        <w:t>C. Reasons to Prefer</w:t>
      </w:r>
    </w:p>
    <w:p w:rsidR="0006137A" w:rsidRDefault="0006137A" w:rsidP="0006137A"/>
    <w:p w:rsidR="0006137A" w:rsidRDefault="0006137A" w:rsidP="0006137A">
      <w:pPr>
        <w:pStyle w:val="Heading4"/>
        <w:numPr>
          <w:ilvl w:val="0"/>
          <w:numId w:val="1"/>
        </w:numPr>
      </w:pPr>
      <w:r>
        <w:t xml:space="preserve">Ground – Loan guarantees should be negative counterplan ground, as they do not necessarily result in an increase in investment for transportation infrastructure. Allowing the affirmative to use loan guarantees guts our budget </w:t>
      </w:r>
      <w:proofErr w:type="spellStart"/>
      <w:r>
        <w:t>disad</w:t>
      </w:r>
      <w:proofErr w:type="spellEnd"/>
      <w:r>
        <w:t xml:space="preserve"> ground as well. </w:t>
      </w:r>
    </w:p>
    <w:p w:rsidR="0006137A" w:rsidRDefault="0006137A" w:rsidP="0006137A"/>
    <w:p w:rsidR="0006137A" w:rsidRDefault="0006137A" w:rsidP="0006137A">
      <w:pPr>
        <w:pStyle w:val="Heading4"/>
        <w:numPr>
          <w:ilvl w:val="0"/>
          <w:numId w:val="1"/>
        </w:numPr>
      </w:pPr>
      <w:r>
        <w:t xml:space="preserve">Education – the topic this year is about government “investment” which requires retaining a share in the project. The core of the debates should be about whether or not the government should remain involved or whether the private sector should take over. </w:t>
      </w:r>
    </w:p>
    <w:p w:rsidR="0006137A" w:rsidRDefault="0006137A" w:rsidP="0006137A"/>
    <w:p w:rsidR="0006137A" w:rsidRPr="0006137A" w:rsidRDefault="0006137A" w:rsidP="0006137A">
      <w:pPr>
        <w:pStyle w:val="Heading4"/>
      </w:pPr>
      <w:r>
        <w:t xml:space="preserve">D. Voting issue – Topicality is a voting issue to preserve a shared point of stasis in debate. Without an agreed upon topic, debate becomes impossible. </w:t>
      </w:r>
    </w:p>
    <w:p w:rsidR="008508D8" w:rsidRDefault="008508D8" w:rsidP="008508D8">
      <w:pPr>
        <w:pStyle w:val="Heading3"/>
      </w:pPr>
      <w:bookmarkStart w:id="3" w:name="_Toc329165944"/>
      <w:r>
        <w:lastRenderedPageBreak/>
        <w:t>2NC Ext. Loan Guarantees =/= Investment</w:t>
      </w:r>
      <w:bookmarkEnd w:id="3"/>
    </w:p>
    <w:p w:rsidR="00B2350F" w:rsidRDefault="00B2350F" w:rsidP="009B46E9"/>
    <w:p w:rsidR="008508D8" w:rsidRPr="00F72328" w:rsidRDefault="008508D8" w:rsidP="008508D8">
      <w:pPr>
        <w:rPr>
          <w:b/>
          <w:shd w:val="clear" w:color="auto" w:fill="FFFFFF"/>
        </w:rPr>
      </w:pPr>
      <w:r w:rsidRPr="00F72328">
        <w:rPr>
          <w:b/>
          <w:shd w:val="clear" w:color="auto" w:fill="FFFFFF"/>
        </w:rPr>
        <w:t>Loan guarantees are not investment</w:t>
      </w:r>
    </w:p>
    <w:p w:rsidR="008508D8" w:rsidRPr="00F72328" w:rsidRDefault="008508D8" w:rsidP="008508D8">
      <w:pPr>
        <w:rPr>
          <w:b/>
          <w:shd w:val="clear" w:color="auto" w:fill="FFFFFF"/>
        </w:rPr>
      </w:pPr>
      <w:r w:rsidRPr="00F72328">
        <w:rPr>
          <w:b/>
          <w:shd w:val="clear" w:color="auto" w:fill="FFFFFF"/>
        </w:rPr>
        <w:t xml:space="preserve">US Tax Court </w:t>
      </w:r>
      <w:r>
        <w:rPr>
          <w:b/>
          <w:shd w:val="clear" w:color="auto" w:fill="FFFFFF"/>
        </w:rPr>
        <w:t>20</w:t>
      </w:r>
      <w:r w:rsidRPr="00F72328">
        <w:rPr>
          <w:b/>
          <w:shd w:val="clear" w:color="auto" w:fill="FFFFFF"/>
        </w:rPr>
        <w:t xml:space="preserve">04 </w:t>
      </w:r>
      <w:r w:rsidRPr="00F72328">
        <w:rPr>
          <w:sz w:val="16"/>
          <w:szCs w:val="16"/>
          <w:shd w:val="clear" w:color="auto" w:fill="FFFFFF"/>
        </w:rPr>
        <w:t>[</w:t>
      </w:r>
      <w:r w:rsidRPr="00F72328">
        <w:rPr>
          <w:color w:val="000000"/>
          <w:sz w:val="16"/>
          <w:szCs w:val="16"/>
          <w:shd w:val="clear" w:color="auto" w:fill="FFFFFF"/>
        </w:rPr>
        <w:t xml:space="preserve">UNITED STATES COURT OF APPEALS FOR THE EIGHTH </w:t>
      </w:r>
      <w:proofErr w:type="spellStart"/>
      <w:r w:rsidRPr="00F72328">
        <w:rPr>
          <w:color w:val="000000"/>
          <w:sz w:val="16"/>
          <w:szCs w:val="16"/>
          <w:shd w:val="clear" w:color="auto" w:fill="FFFFFF"/>
        </w:rPr>
        <w:t>CIRCUIT</w:t>
      </w:r>
      <w:proofErr w:type="gramStart"/>
      <w:r w:rsidRPr="00F72328">
        <w:rPr>
          <w:color w:val="000000"/>
          <w:sz w:val="16"/>
          <w:szCs w:val="16"/>
          <w:shd w:val="clear" w:color="auto" w:fill="FFFFFF"/>
        </w:rPr>
        <w:t>,</w:t>
      </w:r>
      <w:r w:rsidRPr="00F72328">
        <w:rPr>
          <w:sz w:val="16"/>
          <w:szCs w:val="16"/>
          <w:shd w:val="clear" w:color="auto" w:fill="FFFFFF"/>
        </w:rPr>
        <w:t>“</w:t>
      </w:r>
      <w:proofErr w:type="gramEnd"/>
      <w:r w:rsidRPr="00F72328">
        <w:rPr>
          <w:color w:val="000000"/>
          <w:sz w:val="16"/>
          <w:szCs w:val="16"/>
          <w:shd w:val="clear" w:color="auto" w:fill="FFFFFF"/>
        </w:rPr>
        <w:t>Donald</w:t>
      </w:r>
      <w:proofErr w:type="spellEnd"/>
      <w:r w:rsidRPr="00F72328">
        <w:rPr>
          <w:color w:val="000000"/>
          <w:sz w:val="16"/>
          <w:szCs w:val="16"/>
          <w:shd w:val="clear" w:color="auto" w:fill="FFFFFF"/>
        </w:rPr>
        <w:t xml:space="preserve"> G. Oren; Beverly J. Oren, Appellants, v. Commissioner of Internal Revenue, Appellee,” 2-12-04, lexis, spencer]</w:t>
      </w:r>
    </w:p>
    <w:p w:rsidR="008508D8" w:rsidRDefault="008508D8" w:rsidP="008508D8">
      <w:pPr>
        <w:rPr>
          <w:shd w:val="clear" w:color="auto" w:fill="FFFFFF"/>
        </w:rPr>
      </w:pPr>
      <w:r w:rsidRPr="00F72328">
        <w:rPr>
          <w:sz w:val="16"/>
          <w:shd w:val="clear" w:color="auto" w:fill="FFFFFF"/>
        </w:rPr>
        <w:t xml:space="preserve">Oren's </w:t>
      </w:r>
      <w:r w:rsidRPr="00F72328">
        <w:rPr>
          <w:u w:val="single"/>
          <w:shd w:val="clear" w:color="auto" w:fill="FFFFFF"/>
        </w:rPr>
        <w:t>loans were not actual economic outlays</w:t>
      </w:r>
      <w:r w:rsidRPr="00F72328">
        <w:rPr>
          <w:shd w:val="clear" w:color="auto" w:fill="FFFFFF"/>
        </w:rPr>
        <w:t xml:space="preserve">. </w:t>
      </w:r>
      <w:r w:rsidRPr="00F72328">
        <w:rPr>
          <w:sz w:val="16"/>
          <w:shd w:val="clear" w:color="auto" w:fill="FFFFFF"/>
        </w:rPr>
        <w:t xml:space="preserve">He was in the same position after the transactions as before; he was not materially poorer afterwards. </w:t>
      </w:r>
      <w:r w:rsidRPr="00F72328">
        <w:rPr>
          <w:u w:val="single"/>
          <w:shd w:val="clear" w:color="auto" w:fill="FFFFFF"/>
        </w:rPr>
        <w:t>The transactions much more closely resemble offsetting</w:t>
      </w:r>
      <w:r w:rsidRPr="00F72328">
        <w:rPr>
          <w:shd w:val="clear" w:color="auto" w:fill="FFFFFF"/>
        </w:rPr>
        <w:t xml:space="preserve"> </w:t>
      </w:r>
      <w:r w:rsidRPr="00F72328">
        <w:rPr>
          <w:sz w:val="16"/>
          <w:shd w:val="clear" w:color="auto" w:fill="FFFFFF"/>
        </w:rPr>
        <w:t>book entries or</w:t>
      </w:r>
      <w:r w:rsidRPr="00F72328">
        <w:rPr>
          <w:rStyle w:val="apple-converted-space"/>
          <w:sz w:val="16"/>
          <w:szCs w:val="20"/>
          <w:shd w:val="clear" w:color="auto" w:fill="FFFFFF"/>
        </w:rPr>
        <w:t> </w:t>
      </w:r>
      <w:r w:rsidRPr="00F72328">
        <w:rPr>
          <w:rStyle w:val="hit"/>
          <w:b/>
          <w:bCs/>
          <w:szCs w:val="20"/>
          <w:u w:val="single"/>
          <w:shd w:val="clear" w:color="auto" w:fill="FFFFFF"/>
        </w:rPr>
        <w:t>loan guarantees</w:t>
      </w:r>
      <w:r w:rsidRPr="00F72328">
        <w:rPr>
          <w:rStyle w:val="apple-converted-space"/>
          <w:szCs w:val="20"/>
          <w:u w:val="single"/>
          <w:shd w:val="clear" w:color="auto" w:fill="FFFFFF"/>
        </w:rPr>
        <w:t> </w:t>
      </w:r>
      <w:r w:rsidRPr="00F72328">
        <w:rPr>
          <w:u w:val="single"/>
          <w:shd w:val="clear" w:color="auto" w:fill="FFFFFF"/>
        </w:rPr>
        <w:t xml:space="preserve">than </w:t>
      </w:r>
      <w:r w:rsidRPr="00F72328">
        <w:rPr>
          <w:sz w:val="16"/>
          <w:shd w:val="clear" w:color="auto" w:fill="FFFFFF"/>
        </w:rPr>
        <w:t>substantive</w:t>
      </w:r>
      <w:r w:rsidRPr="00F72328">
        <w:rPr>
          <w:rStyle w:val="apple-converted-space"/>
          <w:sz w:val="16"/>
          <w:szCs w:val="20"/>
          <w:shd w:val="clear" w:color="auto" w:fill="FFFFFF"/>
        </w:rPr>
        <w:t> </w:t>
      </w:r>
      <w:bookmarkStart w:id="4" w:name="ORIGHIT_2"/>
      <w:bookmarkStart w:id="5" w:name="HIT_2"/>
      <w:bookmarkEnd w:id="4"/>
      <w:bookmarkEnd w:id="5"/>
      <w:r w:rsidRPr="00F72328">
        <w:rPr>
          <w:rStyle w:val="hit"/>
          <w:b/>
          <w:bCs/>
          <w:szCs w:val="20"/>
          <w:u w:val="single"/>
          <w:shd w:val="clear" w:color="auto" w:fill="FFFFFF"/>
        </w:rPr>
        <w:t>investments</w:t>
      </w:r>
      <w:r w:rsidRPr="00F72328">
        <w:rPr>
          <w:rStyle w:val="apple-converted-space"/>
          <w:szCs w:val="20"/>
          <w:u w:val="single"/>
          <w:shd w:val="clear" w:color="auto" w:fill="FFFFFF"/>
        </w:rPr>
        <w:t> </w:t>
      </w:r>
      <w:r w:rsidRPr="00F72328">
        <w:rPr>
          <w:u w:val="single"/>
          <w:shd w:val="clear" w:color="auto" w:fill="FFFFFF"/>
        </w:rPr>
        <w:t>in HL and HS</w:t>
      </w:r>
      <w:r w:rsidRPr="00F72328">
        <w:rPr>
          <w:shd w:val="clear" w:color="auto" w:fill="FFFFFF"/>
        </w:rPr>
        <w:t>.</w:t>
      </w:r>
    </w:p>
    <w:p w:rsidR="008508D8" w:rsidRDefault="008508D8" w:rsidP="008508D8">
      <w:pPr>
        <w:rPr>
          <w:shd w:val="clear" w:color="auto" w:fill="FFFFFF"/>
        </w:rPr>
      </w:pPr>
    </w:p>
    <w:p w:rsidR="008508D8" w:rsidRPr="00A529B4" w:rsidRDefault="008508D8" w:rsidP="008508D8">
      <w:pPr>
        <w:rPr>
          <w:b/>
          <w:shd w:val="clear" w:color="auto" w:fill="FFFFFF"/>
        </w:rPr>
      </w:pPr>
      <w:r w:rsidRPr="00A529B4">
        <w:rPr>
          <w:b/>
          <w:shd w:val="clear" w:color="auto" w:fill="FFFFFF"/>
        </w:rPr>
        <w:t>Loan guarantees aren’t investment</w:t>
      </w:r>
    </w:p>
    <w:p w:rsidR="008508D8" w:rsidRPr="006B7C10" w:rsidRDefault="008508D8" w:rsidP="008508D8">
      <w:pPr>
        <w:shd w:val="clear" w:color="auto" w:fill="FFFFFF"/>
        <w:rPr>
          <w:rFonts w:eastAsia="Times New Roman"/>
          <w:color w:val="000000"/>
          <w:sz w:val="20"/>
          <w:szCs w:val="20"/>
        </w:rPr>
      </w:pPr>
      <w:r w:rsidRPr="00A529B4">
        <w:rPr>
          <w:b/>
          <w:color w:val="000000"/>
          <w:szCs w:val="20"/>
          <w:shd w:val="clear" w:color="auto" w:fill="FFFFFF"/>
        </w:rPr>
        <w:t xml:space="preserve">Miller </w:t>
      </w:r>
      <w:r>
        <w:rPr>
          <w:b/>
          <w:color w:val="000000"/>
          <w:szCs w:val="20"/>
          <w:shd w:val="clear" w:color="auto" w:fill="FFFFFF"/>
        </w:rPr>
        <w:t>19</w:t>
      </w:r>
      <w:r w:rsidRPr="00A529B4">
        <w:rPr>
          <w:b/>
          <w:color w:val="000000"/>
          <w:szCs w:val="20"/>
          <w:shd w:val="clear" w:color="auto" w:fill="FFFFFF"/>
        </w:rPr>
        <w:t>85</w:t>
      </w:r>
      <w:r w:rsidRPr="00A529B4">
        <w:rPr>
          <w:color w:val="000000"/>
          <w:szCs w:val="20"/>
          <w:shd w:val="clear" w:color="auto" w:fill="FFFFFF"/>
        </w:rPr>
        <w:t xml:space="preserve"> </w:t>
      </w:r>
      <w:r w:rsidRPr="00A529B4">
        <w:rPr>
          <w:color w:val="000000"/>
          <w:sz w:val="16"/>
          <w:szCs w:val="20"/>
          <w:shd w:val="clear" w:color="auto" w:fill="FFFFFF"/>
        </w:rPr>
        <w:t>[Philip R., Judge</w:t>
      </w:r>
      <w:r w:rsidRPr="00A529B4">
        <w:rPr>
          <w:rFonts w:eastAsia="Times New Roman"/>
          <w:color w:val="000000"/>
          <w:sz w:val="16"/>
          <w:szCs w:val="20"/>
        </w:rPr>
        <w:t xml:space="preserve"> “</w:t>
      </w:r>
      <w:r w:rsidRPr="006B7C10">
        <w:rPr>
          <w:rFonts w:eastAsia="Times New Roman"/>
          <w:color w:val="000000"/>
          <w:sz w:val="16"/>
          <w:szCs w:val="20"/>
        </w:rPr>
        <w:t>CELANESE CORPORATION and Consolidated Subsidiaries, Plaintiff, v. The UNITED STATES, Defendant</w:t>
      </w:r>
      <w:r w:rsidRPr="00A529B4">
        <w:rPr>
          <w:rFonts w:eastAsia="Times New Roman"/>
          <w:color w:val="000000"/>
          <w:sz w:val="16"/>
          <w:szCs w:val="20"/>
        </w:rPr>
        <w:t xml:space="preserve">,” </w:t>
      </w:r>
      <w:r w:rsidRPr="006B7C10">
        <w:rPr>
          <w:rFonts w:eastAsia="Times New Roman"/>
          <w:color w:val="000000"/>
          <w:sz w:val="16"/>
          <w:szCs w:val="20"/>
        </w:rPr>
        <w:t>UNITED STATES CLAIMS COURT</w:t>
      </w:r>
      <w:r w:rsidRPr="00A529B4">
        <w:rPr>
          <w:rFonts w:eastAsia="Times New Roman"/>
          <w:color w:val="000000"/>
          <w:sz w:val="16"/>
          <w:szCs w:val="20"/>
        </w:rPr>
        <w:t>, 6-3-85, lexis, spencer]</w:t>
      </w:r>
    </w:p>
    <w:p w:rsidR="008508D8" w:rsidRPr="00A529B4" w:rsidRDefault="008508D8" w:rsidP="008508D8">
      <w:pPr>
        <w:rPr>
          <w:b/>
          <w:shd w:val="clear" w:color="auto" w:fill="FFFFFF"/>
        </w:rPr>
      </w:pPr>
    </w:p>
    <w:p w:rsidR="008508D8" w:rsidRDefault="008508D8" w:rsidP="008508D8">
      <w:pPr>
        <w:rPr>
          <w:sz w:val="10"/>
          <w:shd w:val="clear" w:color="auto" w:fill="FFFFFF"/>
        </w:rPr>
      </w:pPr>
      <w:r w:rsidRPr="00A529B4">
        <w:rPr>
          <w:sz w:val="10"/>
          <w:shd w:val="clear" w:color="auto" w:fill="FFFFFF"/>
        </w:rPr>
        <w:t xml:space="preserve">From the time of the acquisition in 1965 until the end of 1968, </w:t>
      </w:r>
      <w:r w:rsidRPr="00A529B4">
        <w:rPr>
          <w:u w:val="single"/>
          <w:shd w:val="clear" w:color="auto" w:fill="FFFFFF"/>
        </w:rPr>
        <w:t>Celanese made capital contributions to SIACE</w:t>
      </w:r>
      <w:r w:rsidRPr="00A529B4">
        <w:rPr>
          <w:sz w:val="10"/>
          <w:shd w:val="clear" w:color="auto" w:fill="FFFFFF"/>
        </w:rPr>
        <w:t xml:space="preserve"> (through Radio Hill) </w:t>
      </w:r>
      <w:proofErr w:type="spellStart"/>
      <w:r w:rsidRPr="00A529B4">
        <w:rPr>
          <w:u w:val="single"/>
          <w:shd w:val="clear" w:color="auto" w:fill="FFFFFF"/>
        </w:rPr>
        <w:t>totalling</w:t>
      </w:r>
      <w:proofErr w:type="spellEnd"/>
      <w:r w:rsidRPr="00A529B4">
        <w:rPr>
          <w:u w:val="single"/>
          <w:shd w:val="clear" w:color="auto" w:fill="FFFFFF"/>
        </w:rPr>
        <w:t xml:space="preserve"> $16.9 million</w:t>
      </w:r>
      <w:r w:rsidRPr="00A529B4">
        <w:rPr>
          <w:sz w:val="10"/>
          <w:shd w:val="clear" w:color="auto" w:fill="FFFFFF"/>
        </w:rPr>
        <w:t xml:space="preserve">, while SIACE's minority shareholders contributed $0.8 million. </w:t>
      </w:r>
      <w:r w:rsidRPr="00A529B4">
        <w:rPr>
          <w:u w:val="single"/>
          <w:shd w:val="clear" w:color="auto" w:fill="FFFFFF"/>
        </w:rPr>
        <w:t>At the end of 1968</w:t>
      </w:r>
      <w:r w:rsidRPr="00A529B4">
        <w:rPr>
          <w:sz w:val="10"/>
          <w:shd w:val="clear" w:color="auto" w:fill="FFFFFF"/>
        </w:rPr>
        <w:t xml:space="preserve">, SIACE owed short-term debt of $43 million and long-term debt of approximately $30 million. </w:t>
      </w:r>
      <w:r w:rsidRPr="00A529B4">
        <w:rPr>
          <w:u w:val="single"/>
          <w:shd w:val="clear" w:color="auto" w:fill="FFFFFF"/>
        </w:rPr>
        <w:t>Celanese chose to make</w:t>
      </w:r>
      <w:r w:rsidRPr="00A529B4">
        <w:rPr>
          <w:sz w:val="10"/>
          <w:shd w:val="clear" w:color="auto" w:fill="FFFFFF"/>
        </w:rPr>
        <w:t xml:space="preserve"> additional fu</w:t>
      </w:r>
      <w:r w:rsidRPr="00A529B4">
        <w:rPr>
          <w:u w:val="single"/>
          <w:shd w:val="clear" w:color="auto" w:fill="FFFFFF"/>
        </w:rPr>
        <w:t>nds available to SIACE through</w:t>
      </w:r>
      <w:r w:rsidRPr="00A529B4">
        <w:rPr>
          <w:rStyle w:val="apple-converted-space"/>
          <w:szCs w:val="20"/>
          <w:u w:val="single"/>
          <w:shd w:val="clear" w:color="auto" w:fill="FFFFFF"/>
        </w:rPr>
        <w:t> </w:t>
      </w:r>
      <w:r w:rsidRPr="00A529B4">
        <w:rPr>
          <w:rStyle w:val="hit"/>
          <w:b/>
          <w:bCs/>
          <w:szCs w:val="20"/>
          <w:u w:val="single"/>
          <w:shd w:val="clear" w:color="auto" w:fill="FFFFFF"/>
        </w:rPr>
        <w:t>loan guarantees</w:t>
      </w:r>
      <w:r w:rsidRPr="00A529B4">
        <w:rPr>
          <w:rStyle w:val="apple-converted-space"/>
          <w:szCs w:val="20"/>
          <w:u w:val="single"/>
          <w:shd w:val="clear" w:color="auto" w:fill="FFFFFF"/>
        </w:rPr>
        <w:t> </w:t>
      </w:r>
      <w:r w:rsidRPr="00A529B4">
        <w:rPr>
          <w:u w:val="single"/>
          <w:shd w:val="clear" w:color="auto" w:fill="FFFFFF"/>
        </w:rPr>
        <w:t>rather than</w:t>
      </w:r>
      <w:r w:rsidRPr="00A529B4">
        <w:rPr>
          <w:rStyle w:val="apple-converted-space"/>
          <w:szCs w:val="20"/>
          <w:u w:val="single"/>
          <w:shd w:val="clear" w:color="auto" w:fill="FFFFFF"/>
        </w:rPr>
        <w:t> </w:t>
      </w:r>
      <w:r w:rsidRPr="00A529B4">
        <w:rPr>
          <w:rStyle w:val="hit"/>
          <w:b/>
          <w:bCs/>
          <w:szCs w:val="20"/>
          <w:u w:val="single"/>
          <w:shd w:val="clear" w:color="auto" w:fill="FFFFFF"/>
        </w:rPr>
        <w:t>investment</w:t>
      </w:r>
      <w:r w:rsidRPr="00A529B4">
        <w:rPr>
          <w:rStyle w:val="apple-converted-space"/>
          <w:szCs w:val="20"/>
          <w:u w:val="single"/>
          <w:shd w:val="clear" w:color="auto" w:fill="FFFFFF"/>
        </w:rPr>
        <w:t> </w:t>
      </w:r>
      <w:r w:rsidRPr="00A529B4">
        <w:rPr>
          <w:u w:val="single"/>
          <w:shd w:val="clear" w:color="auto" w:fill="FFFFFF"/>
        </w:rPr>
        <w:t>because</w:t>
      </w:r>
      <w:r w:rsidRPr="00A529B4">
        <w:rPr>
          <w:sz w:val="10"/>
          <w:shd w:val="clear" w:color="auto" w:fill="FFFFFF"/>
        </w:rPr>
        <w:t xml:space="preserve"> guarantees directly benefited the lenders whereas capital contributions were available to general creditors, and because </w:t>
      </w:r>
      <w:r w:rsidRPr="00A529B4">
        <w:rPr>
          <w:u w:val="single"/>
          <w:shd w:val="clear" w:color="auto" w:fill="FFFFFF"/>
        </w:rPr>
        <w:t>Celanese's ability to make capital contributions was severely restricted by Executive Order 11,387</w:t>
      </w:r>
      <w:r w:rsidRPr="00A529B4">
        <w:rPr>
          <w:sz w:val="10"/>
          <w:shd w:val="clear" w:color="auto" w:fill="FFFFFF"/>
        </w:rPr>
        <w:t xml:space="preserve"> </w:t>
      </w:r>
      <w:r w:rsidRPr="00A529B4">
        <w:rPr>
          <w:u w:val="single"/>
          <w:shd w:val="clear" w:color="auto" w:fill="FFFFFF"/>
        </w:rPr>
        <w:t>and regulations of the U.S. Office of Foreign Direct Investment</w:t>
      </w:r>
      <w:r w:rsidRPr="00A529B4">
        <w:rPr>
          <w:sz w:val="10"/>
          <w:shd w:val="clear" w:color="auto" w:fill="FFFFFF"/>
        </w:rPr>
        <w:t>.</w:t>
      </w:r>
    </w:p>
    <w:p w:rsidR="008508D8" w:rsidRDefault="008508D8" w:rsidP="008508D8">
      <w:pPr>
        <w:rPr>
          <w:sz w:val="10"/>
          <w:shd w:val="clear" w:color="auto" w:fill="FFFFFF"/>
        </w:rPr>
      </w:pPr>
    </w:p>
    <w:p w:rsidR="008508D8" w:rsidRDefault="008508D8" w:rsidP="009B46E9"/>
    <w:p w:rsidR="008508D8" w:rsidRDefault="008508D8" w:rsidP="008508D8">
      <w:pPr>
        <w:pStyle w:val="Heading2"/>
      </w:pPr>
      <w:bookmarkStart w:id="6" w:name="_Toc329165945"/>
      <w:proofErr w:type="spellStart"/>
      <w:r>
        <w:lastRenderedPageBreak/>
        <w:t>Aff</w:t>
      </w:r>
      <w:proofErr w:type="spellEnd"/>
      <w:r>
        <w:t xml:space="preserve"> Answers</w:t>
      </w:r>
      <w:bookmarkEnd w:id="6"/>
    </w:p>
    <w:p w:rsidR="008508D8" w:rsidRDefault="008508D8" w:rsidP="009B46E9"/>
    <w:p w:rsidR="008508D8" w:rsidRPr="00F30A32" w:rsidRDefault="008508D8" w:rsidP="008508D8">
      <w:pPr>
        <w:rPr>
          <w:b/>
        </w:rPr>
      </w:pPr>
      <w:r w:rsidRPr="00F30A32">
        <w:rPr>
          <w:b/>
        </w:rPr>
        <w:t>Investment includes time and effort—doesn’t have to be money</w:t>
      </w:r>
    </w:p>
    <w:p w:rsidR="008508D8" w:rsidRPr="00F30A32" w:rsidRDefault="008508D8" w:rsidP="008508D8">
      <w:pPr>
        <w:rPr>
          <w:b/>
        </w:rPr>
      </w:pPr>
      <w:r w:rsidRPr="00034C10">
        <w:rPr>
          <w:b/>
          <w:color w:val="000000"/>
          <w:szCs w:val="20"/>
          <w:shd w:val="clear" w:color="auto" w:fill="FFFFFF"/>
        </w:rPr>
        <w:t>SIMANDLE 2009</w:t>
      </w:r>
      <w:r w:rsidRPr="00034C10">
        <w:rPr>
          <w:color w:val="000000"/>
          <w:szCs w:val="20"/>
          <w:shd w:val="clear" w:color="auto" w:fill="FFFFFF"/>
        </w:rPr>
        <w:t xml:space="preserve"> </w:t>
      </w:r>
      <w:r w:rsidRPr="00F30A32">
        <w:rPr>
          <w:color w:val="000000"/>
          <w:sz w:val="16"/>
          <w:szCs w:val="20"/>
          <w:shd w:val="clear" w:color="auto" w:fill="FFFFFF"/>
        </w:rPr>
        <w:t xml:space="preserve">[JEROME B., U.S. District Judge, “LORETTA E. BOYLE, Plaintiff, v. VANGUARD CAR RENTAL USA, INC., Defendant.,” </w:t>
      </w:r>
      <w:r>
        <w:rPr>
          <w:color w:val="000000"/>
          <w:sz w:val="16"/>
          <w:szCs w:val="20"/>
          <w:shd w:val="clear" w:color="auto" w:fill="FFFFFF"/>
        </w:rPr>
        <w:t>9-30-09</w:t>
      </w:r>
      <w:r w:rsidRPr="00F30A32">
        <w:rPr>
          <w:color w:val="000000"/>
          <w:sz w:val="16"/>
          <w:szCs w:val="20"/>
          <w:shd w:val="clear" w:color="auto" w:fill="FFFFFF"/>
        </w:rPr>
        <w:t>,  UNITED STATES DISTRICT COURT FOR THE DISTRICT OF NEW JERSEY, lexis, spencer]</w:t>
      </w:r>
    </w:p>
    <w:p w:rsidR="008508D8" w:rsidRDefault="008508D8" w:rsidP="008508D8">
      <w:pPr>
        <w:rPr>
          <w:sz w:val="16"/>
          <w:szCs w:val="16"/>
        </w:rPr>
      </w:pPr>
      <w:r w:rsidRPr="00F30A32">
        <w:rPr>
          <w:sz w:val="16"/>
          <w:szCs w:val="16"/>
        </w:rPr>
        <w:t>Development of customer goodwill can be a franchise-specific investment sufficient to find a community of interest. See </w:t>
      </w:r>
      <w:hyperlink r:id="rId13" w:tgtFrame="_parent" w:history="1">
        <w:r w:rsidRPr="00F30A32">
          <w:rPr>
            <w:sz w:val="16"/>
            <w:szCs w:val="16"/>
          </w:rPr>
          <w:t>Cooper, 63 F.3d at 270</w:t>
        </w:r>
      </w:hyperlink>
      <w:r w:rsidRPr="00F30A32">
        <w:rPr>
          <w:sz w:val="16"/>
          <w:szCs w:val="16"/>
        </w:rPr>
        <w:t>; </w:t>
      </w:r>
      <w:hyperlink r:id="rId14" w:tgtFrame="_parent" w:history="1">
        <w:r w:rsidRPr="00F30A32">
          <w:rPr>
            <w:sz w:val="16"/>
            <w:szCs w:val="16"/>
          </w:rPr>
          <w:t>Lithuanian Commerce Corp., Ltd. v. Sara Lee Hosiery, 179 F.R.D. 450, 472 (D.N.J. 1998)</w:t>
        </w:r>
      </w:hyperlink>
      <w:r w:rsidRPr="00F30A32">
        <w:rPr>
          <w:sz w:val="16"/>
          <w:szCs w:val="16"/>
        </w:rPr>
        <w:t>. Such </w:t>
      </w:r>
      <w:bookmarkStart w:id="7" w:name="ORIGHIT_1"/>
      <w:bookmarkStart w:id="8" w:name="HIT_1"/>
      <w:bookmarkEnd w:id="7"/>
      <w:bookmarkEnd w:id="8"/>
      <w:proofErr w:type="gramStart"/>
      <w:r w:rsidRPr="00F30A32">
        <w:rPr>
          <w:bCs/>
          <w:szCs w:val="16"/>
          <w:u w:val="single"/>
        </w:rPr>
        <w:t>i</w:t>
      </w:r>
      <w:r w:rsidRPr="00F30A32">
        <w:rPr>
          <w:bCs/>
          <w:szCs w:val="20"/>
          <w:u w:val="single"/>
        </w:rPr>
        <w:t>nvestment includes investment</w:t>
      </w:r>
      <w:r w:rsidRPr="00F30A32">
        <w:rPr>
          <w:szCs w:val="20"/>
          <w:u w:val="single"/>
        </w:rPr>
        <w:t> of </w:t>
      </w:r>
      <w:bookmarkStart w:id="9" w:name="ORIGHIT_4"/>
      <w:bookmarkStart w:id="10" w:name="HIT_4"/>
      <w:bookmarkEnd w:id="9"/>
      <w:bookmarkEnd w:id="10"/>
      <w:r w:rsidRPr="00F30A32">
        <w:rPr>
          <w:bCs/>
          <w:szCs w:val="20"/>
          <w:u w:val="single"/>
        </w:rPr>
        <w:t>time</w:t>
      </w:r>
      <w:r w:rsidRPr="00F30A32">
        <w:rPr>
          <w:szCs w:val="20"/>
          <w:u w:val="single"/>
        </w:rPr>
        <w:t> and effort and does not require monetary</w:t>
      </w:r>
      <w:r w:rsidRPr="00F30A32">
        <w:rPr>
          <w:sz w:val="10"/>
          <w:szCs w:val="20"/>
        </w:rPr>
        <w:t xml:space="preserve"> </w:t>
      </w:r>
      <w:r w:rsidRPr="00F30A32">
        <w:rPr>
          <w:szCs w:val="20"/>
          <w:u w:val="single"/>
        </w:rPr>
        <w:t>investment</w:t>
      </w:r>
      <w:r w:rsidRPr="00F30A32">
        <w:rPr>
          <w:sz w:val="10"/>
          <w:szCs w:val="20"/>
        </w:rPr>
        <w:t xml:space="preserve">, </w:t>
      </w:r>
      <w:r w:rsidRPr="00F30A32">
        <w:rPr>
          <w:szCs w:val="20"/>
          <w:u w:val="single"/>
        </w:rPr>
        <w:t>so long as the intangible</w:t>
      </w:r>
      <w:r w:rsidRPr="00F30A32">
        <w:rPr>
          <w:sz w:val="10"/>
          <w:szCs w:val="20"/>
        </w:rPr>
        <w:t xml:space="preserve"> </w:t>
      </w:r>
      <w:r w:rsidRPr="00F30A32">
        <w:rPr>
          <w:szCs w:val="20"/>
          <w:u w:val="single"/>
        </w:rPr>
        <w:t>skills</w:t>
      </w:r>
      <w:r w:rsidRPr="00F30A32">
        <w:rPr>
          <w:sz w:val="10"/>
          <w:szCs w:val="20"/>
        </w:rPr>
        <w:t xml:space="preserve">, </w:t>
      </w:r>
      <w:r w:rsidRPr="00F30A32">
        <w:rPr>
          <w:sz w:val="16"/>
          <w:szCs w:val="16"/>
        </w:rPr>
        <w:t>knowledge, or goodwill</w:t>
      </w:r>
      <w:r w:rsidRPr="00F30A32">
        <w:rPr>
          <w:sz w:val="14"/>
          <w:szCs w:val="20"/>
        </w:rPr>
        <w:t xml:space="preserve"> </w:t>
      </w:r>
      <w:r w:rsidRPr="00F30A32">
        <w:rPr>
          <w:szCs w:val="20"/>
          <w:u w:val="single"/>
        </w:rPr>
        <w:t>gained are</w:t>
      </w:r>
      <w:proofErr w:type="gramEnd"/>
      <w:r w:rsidRPr="00F30A32">
        <w:rPr>
          <w:szCs w:val="20"/>
          <w:u w:val="single"/>
        </w:rPr>
        <w:t xml:space="preserve"> franchise-specific</w:t>
      </w:r>
      <w:r w:rsidRPr="00F30A32">
        <w:rPr>
          <w:sz w:val="16"/>
          <w:szCs w:val="16"/>
        </w:rPr>
        <w:t>. </w:t>
      </w:r>
      <w:hyperlink r:id="rId15" w:tgtFrame="_parent" w:history="1">
        <w:r w:rsidRPr="00F30A32">
          <w:rPr>
            <w:sz w:val="16"/>
            <w:szCs w:val="16"/>
          </w:rPr>
          <w:t xml:space="preserve">Cooper, </w:t>
        </w:r>
        <w:proofErr w:type="gramStart"/>
        <w:r w:rsidRPr="00F30A32">
          <w:rPr>
            <w:sz w:val="16"/>
            <w:szCs w:val="16"/>
          </w:rPr>
          <w:t>63 F.3d at 270</w:t>
        </w:r>
        <w:proofErr w:type="gramEnd"/>
      </w:hyperlink>
      <w:r w:rsidRPr="00F30A32">
        <w:rPr>
          <w:sz w:val="16"/>
          <w:szCs w:val="16"/>
        </w:rPr>
        <w:t>. Because Plaintiff alleges the kinds of franchise-specific investments that are sufficient for a finding of community of interest, Defendant's motion to dismiss must be denied. There remain questions as to the extent of Plaintiff's efforts and the degree of their franchise-specificity, but for the purposes of a motion to dismiss her allegations are sufficient.</w:t>
      </w:r>
    </w:p>
    <w:p w:rsidR="00E53619" w:rsidRDefault="00E53619" w:rsidP="00E53619">
      <w:pPr>
        <w:pStyle w:val="Heading4"/>
      </w:pPr>
      <w:r>
        <w:t>Investment = Additions</w:t>
      </w:r>
    </w:p>
    <w:p w:rsidR="00E53619" w:rsidRDefault="00E53619" w:rsidP="00E53619">
      <w:r w:rsidRPr="00087BDA">
        <w:rPr>
          <w:rStyle w:val="StyleStyleBold12pt"/>
        </w:rPr>
        <w:t xml:space="preserve">Hu 12 </w:t>
      </w:r>
      <w:r>
        <w:t>(Patricia Hu, Director, Bureau of Transportation Statistics, Research and Innovative Technology Administration, United States Department of Transportation</w:t>
      </w:r>
    </w:p>
    <w:p w:rsidR="00E53619" w:rsidRDefault="00E53619" w:rsidP="00E53619">
      <w:r>
        <w:t>February 9, 2012</w:t>
      </w:r>
      <w:r w:rsidRPr="00087BDA">
        <w:t>http://www.internationaltransportforum.org/Proceedings/InfrastructureInv/HU.pdf</w:t>
      </w:r>
      <w:r>
        <w:t xml:space="preserve">) </w:t>
      </w:r>
    </w:p>
    <w:p w:rsidR="00E53619" w:rsidRDefault="00E53619" w:rsidP="00E53619"/>
    <w:p w:rsidR="00E53619" w:rsidRDefault="00E53619" w:rsidP="00E53619">
      <w:r w:rsidRPr="00087BDA">
        <w:t>“</w:t>
      </w:r>
      <w:r w:rsidRPr="00087BDA">
        <w:rPr>
          <w:rStyle w:val="StyleBoldUnderline"/>
          <w:highlight w:val="yellow"/>
        </w:rPr>
        <w:t xml:space="preserve">Transportation investment is defined as </w:t>
      </w:r>
      <w:r w:rsidRPr="00087BDA">
        <w:rPr>
          <w:rStyle w:val="Emphasis"/>
          <w:highlight w:val="yellow"/>
        </w:rPr>
        <w:t>additions to transportation fixed assets</w:t>
      </w:r>
      <w:r w:rsidRPr="00087BDA">
        <w:rPr>
          <w:rStyle w:val="StyleBoldUnderline"/>
        </w:rPr>
        <w:t>.</w:t>
      </w:r>
      <w:r w:rsidRPr="00087BDA">
        <w:t xml:space="preserve"> Transportation fixed assets</w:t>
      </w:r>
      <w:r>
        <w:t xml:space="preserve"> </w:t>
      </w:r>
      <w:r w:rsidRPr="00087BDA">
        <w:rPr>
          <w:rStyle w:val="StyleBoldUnderline"/>
        </w:rPr>
        <w:t>refer to: structures, motor vehicles, and other machinery and equipment that are used in the provision of transportation services for more than one year</w:t>
      </w:r>
      <w:r w:rsidRPr="00087BDA">
        <w:t>.”</w:t>
      </w:r>
    </w:p>
    <w:p w:rsidR="008508D8" w:rsidRDefault="008508D8" w:rsidP="009B46E9"/>
    <w:p w:rsidR="006552E9" w:rsidRPr="008508D8" w:rsidRDefault="006552E9" w:rsidP="006552E9">
      <w:pPr>
        <w:pStyle w:val="Heading2"/>
      </w:pPr>
      <w:bookmarkStart w:id="11" w:name="_Toc329165946"/>
      <w:r w:rsidRPr="008508D8">
        <w:lastRenderedPageBreak/>
        <w:t>Transportation</w:t>
      </w:r>
      <w:r>
        <w:t xml:space="preserve"> Infrastructure</w:t>
      </w:r>
      <w:bookmarkEnd w:id="11"/>
    </w:p>
    <w:p w:rsidR="006552E9" w:rsidRDefault="006552E9" w:rsidP="006552E9">
      <w:pPr>
        <w:rPr>
          <w:rStyle w:val="StyleBoldUnderline"/>
        </w:rPr>
      </w:pPr>
    </w:p>
    <w:p w:rsidR="006552E9" w:rsidRPr="0053552D" w:rsidRDefault="006552E9" w:rsidP="006552E9">
      <w:pPr>
        <w:autoSpaceDE w:val="0"/>
        <w:autoSpaceDN w:val="0"/>
        <w:adjustRightInd w:val="0"/>
        <w:rPr>
          <w:rFonts w:cs="AGaramond-Regular"/>
          <w:b/>
        </w:rPr>
      </w:pPr>
      <w:r w:rsidRPr="0053552D">
        <w:rPr>
          <w:rFonts w:cs="AGaramond-Regular"/>
          <w:b/>
        </w:rPr>
        <w:t xml:space="preserve">Transportation infrastructure includes vehicles, water transport, and vehicular transport—not dams, levees, water storage, or sewage treatment </w:t>
      </w:r>
    </w:p>
    <w:p w:rsidR="006552E9" w:rsidRPr="009F34B1" w:rsidRDefault="006552E9" w:rsidP="006552E9">
      <w:pPr>
        <w:autoSpaceDE w:val="0"/>
        <w:autoSpaceDN w:val="0"/>
        <w:adjustRightInd w:val="0"/>
        <w:rPr>
          <w:rFonts w:cs="AGaramond-Regular"/>
        </w:rPr>
      </w:pPr>
      <w:r w:rsidRPr="009F34B1">
        <w:rPr>
          <w:rFonts w:cs="AGaramond-Regular"/>
          <w:b/>
        </w:rPr>
        <w:t>CBO 2011</w:t>
      </w:r>
      <w:r w:rsidRPr="009F34B1">
        <w:rPr>
          <w:rFonts w:cs="AGaramond-Regular"/>
        </w:rPr>
        <w:t xml:space="preserve"> </w:t>
      </w:r>
      <w:r w:rsidRPr="009F34B1">
        <w:rPr>
          <w:rFonts w:cs="AGaramond-Regular"/>
          <w:sz w:val="16"/>
        </w:rPr>
        <w:t>[Congressional Budget Office, “</w:t>
      </w:r>
      <w:r w:rsidRPr="009F34B1">
        <w:rPr>
          <w:sz w:val="16"/>
        </w:rPr>
        <w:t>Public Spending</w:t>
      </w:r>
      <w:r w:rsidRPr="009F34B1">
        <w:rPr>
          <w:rFonts w:cs="Garamond-BoldCondensed"/>
          <w:b/>
          <w:bCs/>
          <w:sz w:val="32"/>
          <w:szCs w:val="38"/>
        </w:rPr>
        <w:t xml:space="preserve"> </w:t>
      </w:r>
      <w:r w:rsidRPr="009F34B1">
        <w:rPr>
          <w:sz w:val="16"/>
        </w:rPr>
        <w:t>on Transportation and Water Infrastructure,” November 2011, http://www.cbo.gov/sites/default/files/cbofiles/ftpdocs/119xx/doc11940/11-17-infrastructure.pdf, spencer]</w:t>
      </w:r>
    </w:p>
    <w:p w:rsidR="006552E9" w:rsidRPr="0053552D" w:rsidRDefault="006552E9" w:rsidP="006552E9">
      <w:pPr>
        <w:autoSpaceDE w:val="0"/>
        <w:autoSpaceDN w:val="0"/>
        <w:adjustRightInd w:val="0"/>
        <w:rPr>
          <w:rFonts w:cs="AGaramond-Regular"/>
          <w:u w:val="single"/>
        </w:rPr>
      </w:pPr>
      <w:r w:rsidRPr="0053552D">
        <w:rPr>
          <w:rFonts w:cs="AGaramond-Regular"/>
          <w:sz w:val="16"/>
        </w:rPr>
        <w:t>For the purposes of CBO’s analysis</w:t>
      </w:r>
      <w:r w:rsidRPr="0053552D">
        <w:rPr>
          <w:rFonts w:cs="AGaramond-Regular"/>
          <w:sz w:val="10"/>
        </w:rPr>
        <w:t>, “</w:t>
      </w:r>
      <w:r w:rsidRPr="0053552D">
        <w:rPr>
          <w:rFonts w:cs="AGaramond-Regular"/>
          <w:u w:val="single"/>
        </w:rPr>
        <w:t>transportation infrastructure” includes the systems</w:t>
      </w:r>
      <w:r w:rsidRPr="0053552D">
        <w:rPr>
          <w:rFonts w:cs="AGaramond-Regular"/>
          <w:sz w:val="10"/>
        </w:rPr>
        <w:t xml:space="preserve"> </w:t>
      </w:r>
      <w:r w:rsidRPr="0053552D">
        <w:rPr>
          <w:rFonts w:cs="AGaramond-Regular"/>
          <w:sz w:val="16"/>
        </w:rPr>
        <w:t xml:space="preserve">and facilities </w:t>
      </w:r>
      <w:r w:rsidRPr="0053552D">
        <w:rPr>
          <w:rFonts w:cs="AGaramond-Regular"/>
          <w:u w:val="single"/>
        </w:rPr>
        <w:t>that support the following types of activities:</w:t>
      </w:r>
    </w:p>
    <w:p w:rsidR="006552E9" w:rsidRPr="0053552D" w:rsidRDefault="006552E9" w:rsidP="006552E9">
      <w:pPr>
        <w:autoSpaceDE w:val="0"/>
        <w:autoSpaceDN w:val="0"/>
        <w:adjustRightInd w:val="0"/>
        <w:rPr>
          <w:rFonts w:cs="AGaramond-Regular"/>
          <w:sz w:val="16"/>
        </w:rPr>
      </w:pPr>
      <w:r w:rsidRPr="0053552D">
        <w:rPr>
          <w:rFonts w:cs="T4"/>
          <w:sz w:val="10"/>
          <w:szCs w:val="18"/>
        </w:rPr>
        <w:t xml:space="preserve">B </w:t>
      </w:r>
      <w:r w:rsidRPr="0053552D">
        <w:rPr>
          <w:rFonts w:cs="Garamond-BoldCondensed"/>
          <w:b/>
          <w:bCs/>
          <w:u w:val="single"/>
        </w:rPr>
        <w:t>Vehicular transportation</w:t>
      </w:r>
      <w:r w:rsidRPr="0053552D">
        <w:rPr>
          <w:rFonts w:cs="Garamond-BoldCondensed"/>
          <w:b/>
          <w:bCs/>
        </w:rPr>
        <w:t xml:space="preserve">: </w:t>
      </w:r>
      <w:r w:rsidRPr="0053552D">
        <w:rPr>
          <w:rFonts w:cs="AGaramond-Regular"/>
          <w:sz w:val="16"/>
        </w:rPr>
        <w:t>highways, roads, bridges, and tunnels;</w:t>
      </w:r>
    </w:p>
    <w:p w:rsidR="006552E9" w:rsidRPr="0053552D" w:rsidRDefault="006552E9" w:rsidP="006552E9">
      <w:pPr>
        <w:autoSpaceDE w:val="0"/>
        <w:autoSpaceDN w:val="0"/>
        <w:adjustRightInd w:val="0"/>
        <w:rPr>
          <w:rFonts w:cs="AGaramond-Regular"/>
          <w:sz w:val="16"/>
        </w:rPr>
      </w:pPr>
      <w:r w:rsidRPr="0053552D">
        <w:rPr>
          <w:rFonts w:cs="T4"/>
          <w:sz w:val="10"/>
          <w:szCs w:val="18"/>
        </w:rPr>
        <w:t xml:space="preserve">B </w:t>
      </w:r>
      <w:r w:rsidRPr="0053552D">
        <w:rPr>
          <w:rFonts w:cs="Garamond-BoldCondensed"/>
          <w:b/>
          <w:bCs/>
          <w:u w:val="single"/>
        </w:rPr>
        <w:t>Mass transit</w:t>
      </w:r>
      <w:r w:rsidRPr="0053552D">
        <w:rPr>
          <w:rFonts w:cs="Garamond-BoldCondensed"/>
          <w:b/>
          <w:bCs/>
        </w:rPr>
        <w:t xml:space="preserve">: </w:t>
      </w:r>
      <w:r w:rsidRPr="0053552D">
        <w:rPr>
          <w:rFonts w:cs="AGaramond-Regular"/>
          <w:sz w:val="16"/>
        </w:rPr>
        <w:t>subways, buses, and commuter rail;</w:t>
      </w:r>
    </w:p>
    <w:p w:rsidR="006552E9" w:rsidRPr="0053552D" w:rsidRDefault="006552E9" w:rsidP="006552E9">
      <w:pPr>
        <w:autoSpaceDE w:val="0"/>
        <w:autoSpaceDN w:val="0"/>
        <w:adjustRightInd w:val="0"/>
        <w:rPr>
          <w:rFonts w:cs="AGaramond-Regular"/>
          <w:sz w:val="16"/>
          <w:szCs w:val="13"/>
        </w:rPr>
      </w:pPr>
      <w:r w:rsidRPr="0053552D">
        <w:rPr>
          <w:rFonts w:cs="T4"/>
          <w:sz w:val="10"/>
          <w:szCs w:val="18"/>
        </w:rPr>
        <w:t xml:space="preserve">B </w:t>
      </w:r>
      <w:r w:rsidRPr="0053552D">
        <w:rPr>
          <w:rFonts w:cs="Garamond-BoldCondensed"/>
          <w:b/>
          <w:bCs/>
          <w:u w:val="single"/>
        </w:rPr>
        <w:t>Rail transport</w:t>
      </w:r>
      <w:r w:rsidRPr="0053552D">
        <w:rPr>
          <w:rFonts w:cs="Garamond-BoldCondensed"/>
          <w:b/>
          <w:bCs/>
        </w:rPr>
        <w:t xml:space="preserve">: </w:t>
      </w:r>
      <w:r w:rsidRPr="0053552D">
        <w:rPr>
          <w:rFonts w:cs="AGaramond-Regular"/>
          <w:sz w:val="16"/>
        </w:rPr>
        <w:t>primarily the intercity passenger service provided by Amtrak</w:t>
      </w:r>
      <w:proofErr w:type="gramStart"/>
      <w:r w:rsidRPr="0053552D">
        <w:rPr>
          <w:rFonts w:cs="AGaramond-Regular"/>
          <w:sz w:val="16"/>
        </w:rPr>
        <w:t>;</w:t>
      </w:r>
      <w:r w:rsidRPr="0053552D">
        <w:rPr>
          <w:rFonts w:cs="AGaramond-Regular"/>
          <w:sz w:val="16"/>
          <w:szCs w:val="13"/>
        </w:rPr>
        <w:t>5</w:t>
      </w:r>
      <w:proofErr w:type="gramEnd"/>
    </w:p>
    <w:p w:rsidR="006552E9" w:rsidRPr="0053552D" w:rsidRDefault="006552E9" w:rsidP="006552E9">
      <w:pPr>
        <w:autoSpaceDE w:val="0"/>
        <w:autoSpaceDN w:val="0"/>
        <w:adjustRightInd w:val="0"/>
        <w:rPr>
          <w:rFonts w:cs="AGaramond-Regular"/>
          <w:sz w:val="10"/>
        </w:rPr>
      </w:pPr>
      <w:r w:rsidRPr="0053552D">
        <w:rPr>
          <w:rFonts w:cs="T4"/>
          <w:sz w:val="10"/>
          <w:szCs w:val="18"/>
        </w:rPr>
        <w:t xml:space="preserve">B </w:t>
      </w:r>
      <w:r w:rsidRPr="0053552D">
        <w:rPr>
          <w:rFonts w:cs="Garamond-BoldCondensed"/>
          <w:b/>
          <w:bCs/>
          <w:u w:val="single"/>
        </w:rPr>
        <w:t>Civil aviation</w:t>
      </w:r>
      <w:r w:rsidRPr="0053552D">
        <w:rPr>
          <w:rFonts w:cs="Garamond-BoldCondensed"/>
          <w:b/>
          <w:bCs/>
        </w:rPr>
        <w:t xml:space="preserve">: </w:t>
      </w:r>
      <w:r w:rsidRPr="0053552D">
        <w:rPr>
          <w:rFonts w:cs="AGaramond-Regular"/>
          <w:sz w:val="16"/>
        </w:rPr>
        <w:t>airport terminals, runways, and taxiways, and facilities and navigational equipment for air traffic control</w:t>
      </w:r>
      <w:r w:rsidRPr="0053552D">
        <w:rPr>
          <w:rFonts w:cs="AGaramond-Regular"/>
          <w:sz w:val="10"/>
        </w:rPr>
        <w:t xml:space="preserve">; </w:t>
      </w:r>
      <w:r w:rsidRPr="0053552D">
        <w:rPr>
          <w:rFonts w:cs="AGaramond-Regular"/>
          <w:u w:val="single"/>
        </w:rPr>
        <w:t>and</w:t>
      </w:r>
    </w:p>
    <w:p w:rsidR="006552E9" w:rsidRPr="0053552D" w:rsidRDefault="006552E9" w:rsidP="006552E9">
      <w:pPr>
        <w:autoSpaceDE w:val="0"/>
        <w:autoSpaceDN w:val="0"/>
        <w:adjustRightInd w:val="0"/>
        <w:rPr>
          <w:rFonts w:cs="AGaramond-Regular"/>
          <w:sz w:val="16"/>
        </w:rPr>
      </w:pPr>
      <w:r w:rsidRPr="0053552D">
        <w:rPr>
          <w:rFonts w:cs="T4"/>
          <w:sz w:val="10"/>
          <w:szCs w:val="18"/>
        </w:rPr>
        <w:t xml:space="preserve">B </w:t>
      </w:r>
      <w:r w:rsidRPr="0053552D">
        <w:rPr>
          <w:rFonts w:cs="Garamond-BoldCondensed"/>
          <w:b/>
          <w:bCs/>
          <w:u w:val="single"/>
        </w:rPr>
        <w:t>Water transportation</w:t>
      </w:r>
      <w:r w:rsidRPr="0053552D">
        <w:rPr>
          <w:rFonts w:cs="Garamond-BoldCondensed"/>
          <w:b/>
          <w:bCs/>
        </w:rPr>
        <w:t xml:space="preserve">: </w:t>
      </w:r>
      <w:r w:rsidRPr="0053552D">
        <w:rPr>
          <w:rFonts w:cs="AGaramond-Regular"/>
          <w:sz w:val="16"/>
        </w:rPr>
        <w:t>waterways, ports, vessels, and navigational systems.</w:t>
      </w:r>
    </w:p>
    <w:p w:rsidR="006552E9" w:rsidRPr="0053552D" w:rsidRDefault="006552E9" w:rsidP="006552E9">
      <w:pPr>
        <w:autoSpaceDE w:val="0"/>
        <w:autoSpaceDN w:val="0"/>
        <w:adjustRightInd w:val="0"/>
        <w:rPr>
          <w:rFonts w:cs="AGaramond-Regular"/>
          <w:sz w:val="10"/>
        </w:rPr>
      </w:pPr>
      <w:r w:rsidRPr="0053552D">
        <w:rPr>
          <w:rFonts w:cs="AGaramond-Regular"/>
          <w:sz w:val="16"/>
        </w:rPr>
        <w:t xml:space="preserve">The category </w:t>
      </w:r>
      <w:r w:rsidRPr="0053552D">
        <w:rPr>
          <w:rFonts w:cs="AGaramond-Regular"/>
          <w:sz w:val="10"/>
        </w:rPr>
        <w:t>“</w:t>
      </w:r>
      <w:r w:rsidRPr="0053552D">
        <w:rPr>
          <w:rFonts w:cs="AGaramond-Regular"/>
          <w:u w:val="single"/>
        </w:rPr>
        <w:t>water infrastructure” includes</w:t>
      </w:r>
      <w:r w:rsidRPr="0053552D">
        <w:rPr>
          <w:rFonts w:cs="AGaramond-Regular"/>
          <w:sz w:val="10"/>
        </w:rPr>
        <w:t xml:space="preserve"> </w:t>
      </w:r>
      <w:r w:rsidRPr="0053552D">
        <w:rPr>
          <w:rFonts w:cs="AGaramond-Regular"/>
          <w:sz w:val="16"/>
        </w:rPr>
        <w:t>facilities that provide the following</w:t>
      </w:r>
      <w:r w:rsidRPr="0053552D">
        <w:rPr>
          <w:rFonts w:cs="AGaramond-Regular"/>
          <w:sz w:val="10"/>
        </w:rPr>
        <w:t>:</w:t>
      </w:r>
    </w:p>
    <w:p w:rsidR="006552E9" w:rsidRPr="0053552D" w:rsidRDefault="006552E9" w:rsidP="006552E9">
      <w:pPr>
        <w:autoSpaceDE w:val="0"/>
        <w:autoSpaceDN w:val="0"/>
        <w:adjustRightInd w:val="0"/>
        <w:rPr>
          <w:rFonts w:cs="AGaramond-Regular"/>
          <w:sz w:val="10"/>
        </w:rPr>
      </w:pPr>
      <w:r w:rsidRPr="0053552D">
        <w:rPr>
          <w:rFonts w:cs="T4"/>
          <w:sz w:val="10"/>
          <w:szCs w:val="18"/>
        </w:rPr>
        <w:t xml:space="preserve">B </w:t>
      </w:r>
      <w:r w:rsidRPr="0053552D">
        <w:rPr>
          <w:rFonts w:cs="Garamond-BoldCondensed"/>
          <w:b/>
          <w:bCs/>
          <w:u w:val="single"/>
        </w:rPr>
        <w:t>Water resources</w:t>
      </w:r>
      <w:r w:rsidRPr="0053552D">
        <w:rPr>
          <w:rFonts w:cs="Garamond-BoldCondensed"/>
          <w:b/>
          <w:bCs/>
        </w:rPr>
        <w:t xml:space="preserve">: </w:t>
      </w:r>
      <w:r w:rsidRPr="0053552D">
        <w:rPr>
          <w:rFonts w:cs="AGaramond-Regular"/>
          <w:sz w:val="16"/>
        </w:rPr>
        <w:t xml:space="preserve">containment systems, such as dams, levees, reservoirs, and watersheds; and sources of fresh water such as lakes and rivers; </w:t>
      </w:r>
      <w:r w:rsidRPr="0053552D">
        <w:rPr>
          <w:rFonts w:cs="AGaramond-Regular"/>
          <w:u w:val="single"/>
        </w:rPr>
        <w:t>and</w:t>
      </w:r>
    </w:p>
    <w:p w:rsidR="006552E9" w:rsidRDefault="006552E9" w:rsidP="006552E9">
      <w:pPr>
        <w:rPr>
          <w:rFonts w:cs="AGaramond-Regular"/>
          <w:sz w:val="10"/>
        </w:rPr>
      </w:pPr>
      <w:r w:rsidRPr="0053552D">
        <w:rPr>
          <w:rFonts w:cs="T4"/>
          <w:sz w:val="10"/>
          <w:szCs w:val="18"/>
        </w:rPr>
        <w:t xml:space="preserve">B </w:t>
      </w:r>
      <w:r w:rsidRPr="0053552D">
        <w:rPr>
          <w:rFonts w:cs="Garamond-BoldCondensed"/>
          <w:b/>
          <w:bCs/>
          <w:u w:val="single"/>
        </w:rPr>
        <w:t>Water utilities</w:t>
      </w:r>
      <w:r w:rsidRPr="0053552D">
        <w:rPr>
          <w:rFonts w:cs="Garamond-BoldCondensed"/>
          <w:b/>
          <w:bCs/>
        </w:rPr>
        <w:t xml:space="preserve">: </w:t>
      </w:r>
      <w:r w:rsidRPr="0053552D">
        <w:rPr>
          <w:rFonts w:cs="AGaramond-Regular"/>
          <w:sz w:val="16"/>
        </w:rPr>
        <w:t>supply systems for distributing potable water, and wastewater and sewage treatment systems and plants</w:t>
      </w:r>
      <w:r w:rsidRPr="0053552D">
        <w:rPr>
          <w:rFonts w:cs="AGaramond-Regular"/>
          <w:sz w:val="10"/>
        </w:rPr>
        <w:t>.</w:t>
      </w:r>
    </w:p>
    <w:p w:rsidR="006552E9" w:rsidRDefault="006552E9" w:rsidP="006552E9">
      <w:pPr>
        <w:rPr>
          <w:rFonts w:cs="AGaramond-Regular"/>
          <w:sz w:val="10"/>
        </w:rPr>
      </w:pPr>
    </w:p>
    <w:p w:rsidR="006552E9" w:rsidRDefault="006552E9" w:rsidP="006552E9">
      <w:pPr>
        <w:rPr>
          <w:rFonts w:cs="AGaramond-Regular"/>
          <w:sz w:val="10"/>
        </w:rPr>
      </w:pPr>
    </w:p>
    <w:p w:rsidR="006552E9" w:rsidRPr="00034C10" w:rsidRDefault="006552E9" w:rsidP="006552E9">
      <w:pPr>
        <w:rPr>
          <w:rStyle w:val="StyleStyleBold12pt"/>
        </w:rPr>
      </w:pPr>
      <w:r>
        <w:rPr>
          <w:rStyle w:val="StyleStyleBold12pt"/>
        </w:rPr>
        <w:t>Transportation infrastructure excludes communications, housing, and electricity transport</w:t>
      </w:r>
    </w:p>
    <w:p w:rsidR="006552E9" w:rsidRDefault="006552E9" w:rsidP="006552E9">
      <w:proofErr w:type="spellStart"/>
      <w:r w:rsidRPr="00F6145A">
        <w:rPr>
          <w:rStyle w:val="StyleStyleBold12pt"/>
        </w:rPr>
        <w:t>Alshawi</w:t>
      </w:r>
      <w:proofErr w:type="spellEnd"/>
      <w:r w:rsidRPr="00F6145A">
        <w:rPr>
          <w:rStyle w:val="StyleStyleBold12pt"/>
        </w:rPr>
        <w:t xml:space="preserve"> </w:t>
      </w:r>
      <w:r>
        <w:rPr>
          <w:rStyle w:val="StyleStyleBold12pt"/>
        </w:rPr>
        <w:t>200</w:t>
      </w:r>
      <w:r w:rsidRPr="00F6145A">
        <w:rPr>
          <w:rStyle w:val="StyleStyleBold12pt"/>
        </w:rPr>
        <w:t>9</w:t>
      </w:r>
      <w:r w:rsidRPr="00F6145A">
        <w:rPr>
          <w:sz w:val="18"/>
        </w:rPr>
        <w:t xml:space="preserve"> </w:t>
      </w:r>
      <w:r w:rsidRPr="009F34B1">
        <w:rPr>
          <w:sz w:val="16"/>
        </w:rPr>
        <w:t xml:space="preserve">[Mustafa, Associate Dean @ University of </w:t>
      </w:r>
      <w:proofErr w:type="spellStart"/>
      <w:r w:rsidRPr="009F34B1">
        <w:rPr>
          <w:sz w:val="16"/>
        </w:rPr>
        <w:t>Salford</w:t>
      </w:r>
      <w:proofErr w:type="spellEnd"/>
      <w:r w:rsidRPr="009F34B1">
        <w:rPr>
          <w:sz w:val="16"/>
        </w:rPr>
        <w:t xml:space="preserve"> and Chair @ Iraq Institute for Economic Reforms, “Concept and Background to Public Private Partnership (PPP) / Private Finance Initiative (PFI)”, 11-20-9, </w:t>
      </w:r>
      <w:hyperlink r:id="rId16" w:history="1">
        <w:r w:rsidRPr="009F34B1">
          <w:rPr>
            <w:rStyle w:val="Hyperlink"/>
            <w:sz w:val="16"/>
          </w:rPr>
          <w:t>http://www.oecd.org/dataoecd/50/33/47562550.pdf</w:t>
        </w:r>
      </w:hyperlink>
      <w:r w:rsidRPr="009F34B1">
        <w:rPr>
          <w:sz w:val="16"/>
        </w:rPr>
        <w:t>, spencer]</w:t>
      </w:r>
    </w:p>
    <w:p w:rsidR="006552E9" w:rsidRPr="007352F6" w:rsidRDefault="006552E9" w:rsidP="006552E9"/>
    <w:p w:rsidR="006552E9" w:rsidRPr="00F6145A" w:rsidRDefault="006552E9" w:rsidP="006552E9">
      <w:pPr>
        <w:rPr>
          <w:sz w:val="16"/>
        </w:rPr>
      </w:pPr>
      <w:r w:rsidRPr="00F6145A">
        <w:rPr>
          <w:sz w:val="10"/>
        </w:rPr>
        <w:t xml:space="preserve">1 </w:t>
      </w:r>
      <w:r w:rsidRPr="00F6145A">
        <w:rPr>
          <w:rStyle w:val="StyleBoldUnderline"/>
        </w:rPr>
        <w:t xml:space="preserve">Infrastructure is defined as </w:t>
      </w:r>
      <w:r w:rsidRPr="00F6145A">
        <w:rPr>
          <w:rStyle w:val="Emphasis"/>
          <w:rFonts w:ascii="Georgia" w:hAnsi="Georgia"/>
          <w:b w:val="0"/>
        </w:rPr>
        <w:t>transportation infrastructure</w:t>
      </w:r>
      <w:r w:rsidRPr="00F6145A">
        <w:rPr>
          <w:rStyle w:val="StyleBoldUnderline"/>
          <w:sz w:val="10"/>
        </w:rPr>
        <w:t xml:space="preserve"> (</w:t>
      </w:r>
      <w:r w:rsidRPr="00F6145A">
        <w:rPr>
          <w:rStyle w:val="StyleBoldUnderline"/>
        </w:rPr>
        <w:t>roads, bridges, airports, ports, rail lines</w:t>
      </w:r>
      <w:r w:rsidRPr="00F6145A">
        <w:rPr>
          <w:rStyle w:val="StyleBoldUnderline"/>
          <w:sz w:val="10"/>
        </w:rPr>
        <w:t xml:space="preserve">); </w:t>
      </w:r>
      <w:r w:rsidRPr="00F6145A">
        <w:rPr>
          <w:rStyle w:val="Emphasis"/>
          <w:rFonts w:ascii="Georgia" w:hAnsi="Georgia"/>
          <w:b w:val="0"/>
        </w:rPr>
        <w:t>communications infrastructure</w:t>
      </w:r>
      <w:r w:rsidRPr="00F6145A">
        <w:rPr>
          <w:rStyle w:val="StyleBoldUnderline"/>
          <w:b w:val="0"/>
        </w:rPr>
        <w:t xml:space="preserve">; </w:t>
      </w:r>
      <w:r w:rsidRPr="00F6145A">
        <w:rPr>
          <w:rStyle w:val="Emphasis"/>
          <w:rFonts w:ascii="Georgia" w:hAnsi="Georgia"/>
          <w:b w:val="0"/>
        </w:rPr>
        <w:t>housing</w:t>
      </w:r>
      <w:r w:rsidRPr="00F6145A">
        <w:rPr>
          <w:rStyle w:val="StyleBoldUnderline"/>
          <w:b w:val="0"/>
        </w:rPr>
        <w:t xml:space="preserve">; </w:t>
      </w:r>
      <w:r w:rsidRPr="00F6145A">
        <w:rPr>
          <w:rStyle w:val="StyleBoldUnderline"/>
        </w:rPr>
        <w:t>and</w:t>
      </w:r>
      <w:r w:rsidRPr="00F6145A">
        <w:rPr>
          <w:rStyle w:val="StyleBoldUnderline"/>
          <w:b w:val="0"/>
        </w:rPr>
        <w:t xml:space="preserve"> </w:t>
      </w:r>
      <w:r w:rsidRPr="00F6145A">
        <w:rPr>
          <w:rStyle w:val="Emphasis"/>
          <w:rFonts w:ascii="Georgia" w:hAnsi="Georgia"/>
          <w:b w:val="0"/>
        </w:rPr>
        <w:t>electricity generation and distribution</w:t>
      </w:r>
      <w:r w:rsidRPr="00F6145A">
        <w:rPr>
          <w:sz w:val="10"/>
        </w:rPr>
        <w:t xml:space="preserve">. </w:t>
      </w:r>
      <w:r w:rsidRPr="00F6145A">
        <w:rPr>
          <w:sz w:val="16"/>
        </w:rPr>
        <w:t>Infrastructure projects can be “mega projects” (dams, coast-to</w:t>
      </w:r>
      <w:r w:rsidRPr="00F6145A">
        <w:rPr>
          <w:rFonts w:ascii="Cambria Math" w:hAnsi="Cambria Math" w:cs="Cambria Math"/>
          <w:sz w:val="16"/>
        </w:rPr>
        <w:t>‐</w:t>
      </w:r>
      <w:r w:rsidRPr="00F6145A">
        <w:rPr>
          <w:sz w:val="16"/>
        </w:rPr>
        <w:t>coast highways, mega</w:t>
      </w:r>
      <w:r w:rsidRPr="00F6145A">
        <w:rPr>
          <w:rFonts w:ascii="Cambria Math" w:hAnsi="Cambria Math" w:cs="Cambria Math"/>
          <w:sz w:val="16"/>
        </w:rPr>
        <w:t>‐</w:t>
      </w:r>
      <w:r w:rsidRPr="00F6145A">
        <w:rPr>
          <w:sz w:val="16"/>
        </w:rPr>
        <w:t>ports, large power plants) or much smaller projects that can include communication franchises or limited highway spurs.</w:t>
      </w:r>
    </w:p>
    <w:p w:rsidR="006552E9" w:rsidRDefault="006552E9" w:rsidP="006552E9">
      <w:pPr>
        <w:rPr>
          <w:sz w:val="10"/>
          <w:szCs w:val="16"/>
          <w:shd w:val="clear" w:color="auto" w:fill="FFFFFF"/>
        </w:rPr>
      </w:pPr>
    </w:p>
    <w:p w:rsidR="006552E9" w:rsidRDefault="006552E9" w:rsidP="006552E9"/>
    <w:p w:rsidR="006552E9" w:rsidRDefault="006552E9">
      <w:pPr>
        <w:spacing w:after="200" w:line="276" w:lineRule="auto"/>
        <w:rPr>
          <w:rFonts w:asciiTheme="minorHAnsi" w:hAnsiTheme="minorHAnsi"/>
        </w:rPr>
      </w:pPr>
    </w:p>
    <w:sectPr w:rsidR="006552E9">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B7E" w:rsidRDefault="006A7B7E" w:rsidP="005F5576">
      <w:r>
        <w:separator/>
      </w:r>
    </w:p>
  </w:endnote>
  <w:endnote w:type="continuationSeparator" w:id="0">
    <w:p w:rsidR="006A7B7E" w:rsidRDefault="006A7B7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Garamond-BoldCondensed">
    <w:panose1 w:val="00000000000000000000"/>
    <w:charset w:val="00"/>
    <w:family w:val="roman"/>
    <w:notTrueType/>
    <w:pitch w:val="default"/>
    <w:sig w:usb0="00000003" w:usb1="00000000" w:usb2="00000000" w:usb3="00000000" w:csb0="00000001" w:csb1="00000000"/>
  </w:font>
  <w:font w:name="T4">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085626"/>
      <w:docPartObj>
        <w:docPartGallery w:val="Page Numbers (Bottom of Page)"/>
        <w:docPartUnique/>
      </w:docPartObj>
    </w:sdtPr>
    <w:sdtEndPr>
      <w:rPr>
        <w:noProof/>
      </w:rPr>
    </w:sdtEndPr>
    <w:sdtContent>
      <w:p w:rsidR="00F6250E" w:rsidRDefault="00F6250E">
        <w:pPr>
          <w:pStyle w:val="Footer"/>
          <w:jc w:val="right"/>
        </w:pPr>
        <w:r>
          <w:fldChar w:fldCharType="begin"/>
        </w:r>
        <w:r>
          <w:instrText xml:space="preserve"> PAGE   \* MERGEFORMAT </w:instrText>
        </w:r>
        <w:r>
          <w:fldChar w:fldCharType="separate"/>
        </w:r>
        <w:r w:rsidR="00084B58">
          <w:rPr>
            <w:noProof/>
          </w:rPr>
          <w:t>5</w:t>
        </w:r>
        <w:r>
          <w:rPr>
            <w:noProof/>
          </w:rPr>
          <w:fldChar w:fldCharType="end"/>
        </w:r>
      </w:p>
    </w:sdtContent>
  </w:sdt>
  <w:p w:rsidR="00F6250E" w:rsidRDefault="00F62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B7E" w:rsidRDefault="006A7B7E" w:rsidP="005F5576">
      <w:r>
        <w:separator/>
      </w:r>
    </w:p>
  </w:footnote>
  <w:footnote w:type="continuationSeparator" w:id="0">
    <w:p w:rsidR="006A7B7E" w:rsidRDefault="006A7B7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0E" w:rsidRDefault="00F6250E" w:rsidP="00F6250E">
    <w:pPr>
      <w:pStyle w:val="Header"/>
      <w:tabs>
        <w:tab w:val="clear" w:pos="4680"/>
      </w:tabs>
    </w:pPr>
    <w:r>
      <w:t>WFI 2012</w:t>
    </w:r>
    <w:r>
      <w:tab/>
      <w:t>Loan Guarantees Topicality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60AC9"/>
    <w:multiLevelType w:val="hybridMultilevel"/>
    <w:tmpl w:val="E2906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DA"/>
    <w:rsid w:val="000022F2"/>
    <w:rsid w:val="00021F29"/>
    <w:rsid w:val="00027EED"/>
    <w:rsid w:val="00033028"/>
    <w:rsid w:val="000360A7"/>
    <w:rsid w:val="00052A1D"/>
    <w:rsid w:val="00055E12"/>
    <w:rsid w:val="0006137A"/>
    <w:rsid w:val="00064A59"/>
    <w:rsid w:val="0007162E"/>
    <w:rsid w:val="00084B58"/>
    <w:rsid w:val="00087BDA"/>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F1250"/>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67466"/>
    <w:rsid w:val="00375A9C"/>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552E9"/>
    <w:rsid w:val="006672D8"/>
    <w:rsid w:val="00670D96"/>
    <w:rsid w:val="00672877"/>
    <w:rsid w:val="00683154"/>
    <w:rsid w:val="0068559B"/>
    <w:rsid w:val="00690115"/>
    <w:rsid w:val="00690898"/>
    <w:rsid w:val="00693039"/>
    <w:rsid w:val="006A7B7E"/>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08D8"/>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B46E9"/>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0F"/>
    <w:rsid w:val="00B235E1"/>
    <w:rsid w:val="00B3145D"/>
    <w:rsid w:val="00B34414"/>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01C4"/>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0482C"/>
    <w:rsid w:val="00E14EBD"/>
    <w:rsid w:val="00E16734"/>
    <w:rsid w:val="00E2367A"/>
    <w:rsid w:val="00E35FC9"/>
    <w:rsid w:val="00E377A4"/>
    <w:rsid w:val="00E420E9"/>
    <w:rsid w:val="00E4635D"/>
    <w:rsid w:val="00E53619"/>
    <w:rsid w:val="00E61D76"/>
    <w:rsid w:val="00E70912"/>
    <w:rsid w:val="00E90AA6"/>
    <w:rsid w:val="00E977B8"/>
    <w:rsid w:val="00E97AD1"/>
    <w:rsid w:val="00EA109B"/>
    <w:rsid w:val="00EA2926"/>
    <w:rsid w:val="00EC1A81"/>
    <w:rsid w:val="00EC7E5C"/>
    <w:rsid w:val="00ED78F1"/>
    <w:rsid w:val="00EF0F62"/>
    <w:rsid w:val="00F007E1"/>
    <w:rsid w:val="00F0217C"/>
    <w:rsid w:val="00F057C6"/>
    <w:rsid w:val="00F5019D"/>
    <w:rsid w:val="00F6250E"/>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apple-converted-space">
    <w:name w:val="apple-converted-space"/>
    <w:rsid w:val="008508D8"/>
  </w:style>
  <w:style w:type="character" w:customStyle="1" w:styleId="hit">
    <w:name w:val="hit"/>
    <w:rsid w:val="008508D8"/>
  </w:style>
  <w:style w:type="paragraph" w:styleId="TOCHeading">
    <w:name w:val="TOC Heading"/>
    <w:basedOn w:val="Heading1"/>
    <w:next w:val="Normal"/>
    <w:uiPriority w:val="39"/>
    <w:semiHidden/>
    <w:unhideWhenUsed/>
    <w:qFormat/>
    <w:rsid w:val="006552E9"/>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rsid w:val="006552E9"/>
    <w:pPr>
      <w:spacing w:after="100"/>
      <w:ind w:left="220"/>
    </w:pPr>
  </w:style>
  <w:style w:type="paragraph" w:styleId="TOC3">
    <w:name w:val="toc 3"/>
    <w:basedOn w:val="Normal"/>
    <w:next w:val="Normal"/>
    <w:autoRedefine/>
    <w:uiPriority w:val="39"/>
    <w:rsid w:val="006552E9"/>
    <w:pPr>
      <w:spacing w:after="100"/>
      <w:ind w:left="440"/>
    </w:pPr>
  </w:style>
  <w:style w:type="paragraph" w:styleId="BalloonText">
    <w:name w:val="Balloon Text"/>
    <w:basedOn w:val="Normal"/>
    <w:link w:val="BalloonTextChar"/>
    <w:uiPriority w:val="99"/>
    <w:semiHidden/>
    <w:rsid w:val="006552E9"/>
    <w:rPr>
      <w:rFonts w:ascii="Tahoma" w:hAnsi="Tahoma" w:cs="Tahoma"/>
      <w:sz w:val="16"/>
      <w:szCs w:val="16"/>
    </w:rPr>
  </w:style>
  <w:style w:type="character" w:customStyle="1" w:styleId="BalloonTextChar">
    <w:name w:val="Balloon Text Char"/>
    <w:basedOn w:val="DefaultParagraphFont"/>
    <w:link w:val="BalloonText"/>
    <w:uiPriority w:val="99"/>
    <w:semiHidden/>
    <w:rsid w:val="00655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apple-converted-space">
    <w:name w:val="apple-converted-space"/>
    <w:rsid w:val="008508D8"/>
  </w:style>
  <w:style w:type="character" w:customStyle="1" w:styleId="hit">
    <w:name w:val="hit"/>
    <w:rsid w:val="008508D8"/>
  </w:style>
  <w:style w:type="paragraph" w:styleId="TOCHeading">
    <w:name w:val="TOC Heading"/>
    <w:basedOn w:val="Heading1"/>
    <w:next w:val="Normal"/>
    <w:uiPriority w:val="39"/>
    <w:semiHidden/>
    <w:unhideWhenUsed/>
    <w:qFormat/>
    <w:rsid w:val="006552E9"/>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rsid w:val="006552E9"/>
    <w:pPr>
      <w:spacing w:after="100"/>
      <w:ind w:left="220"/>
    </w:pPr>
  </w:style>
  <w:style w:type="paragraph" w:styleId="TOC3">
    <w:name w:val="toc 3"/>
    <w:basedOn w:val="Normal"/>
    <w:next w:val="Normal"/>
    <w:autoRedefine/>
    <w:uiPriority w:val="39"/>
    <w:rsid w:val="006552E9"/>
    <w:pPr>
      <w:spacing w:after="100"/>
      <w:ind w:left="440"/>
    </w:pPr>
  </w:style>
  <w:style w:type="paragraph" w:styleId="BalloonText">
    <w:name w:val="Balloon Text"/>
    <w:basedOn w:val="Normal"/>
    <w:link w:val="BalloonTextChar"/>
    <w:uiPriority w:val="99"/>
    <w:semiHidden/>
    <w:rsid w:val="006552E9"/>
    <w:rPr>
      <w:rFonts w:ascii="Tahoma" w:hAnsi="Tahoma" w:cs="Tahoma"/>
      <w:sz w:val="16"/>
      <w:szCs w:val="16"/>
    </w:rPr>
  </w:style>
  <w:style w:type="character" w:customStyle="1" w:styleId="BalloonTextChar">
    <w:name w:val="Balloon Text Char"/>
    <w:basedOn w:val="DefaultParagraphFont"/>
    <w:link w:val="BalloonText"/>
    <w:uiPriority w:val="99"/>
    <w:semiHidden/>
    <w:rsid w:val="00655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xisnexis.com/lnacui2api/mungo/lexseestat.do?bct=A&amp;risb=21_T15002347137&amp;homeCsi=6323&amp;A=0.27533118203992346&amp;urlEnc=ISO-8859-1&amp;&amp;citeString=63%20F.3d%20262,%20270&amp;countryCode=USA"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fmaefm.org/0EFMAMEETINGS/EFMA%20ANNUAL%20MEETINGS/2009-milan/EFMA2009_0368_fullpaper.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ecd.org/dataoecd/50/33/4756255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lexisnexis.com/lnacui2api/mungo/lexseestat.do?bct=A&amp;risb=21_T15002347137&amp;homeCsi=6323&amp;A=0.27533118203992346&amp;urlEnc=ISO-8859-1&amp;&amp;citeString=63%20F.3d%20262,%20270&amp;countryCode=US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xisnexis.com/lnacui2api/mungo/lexseestat.do?bct=A&amp;risb=21_T15002347137&amp;homeCsi=6323&amp;A=0.27533118203992346&amp;urlEnc=ISO-8859-1&amp;&amp;citeString=179%20F.R.D.%20450,%20472&amp;countryCode=US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J\Documents\WMJ\Debate\Debate%202012-2013\High%20School\WFI%202012\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E0CCE8A9-B256-4011-8486-6F13CC81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Mosley-Jensen</dc:creator>
  <cp:lastModifiedBy>William Mosley-Jensen</cp:lastModifiedBy>
  <cp:revision>2</cp:revision>
  <dcterms:created xsi:type="dcterms:W3CDTF">2012-07-04T15:53:00Z</dcterms:created>
  <dcterms:modified xsi:type="dcterms:W3CDTF">2012-07-04T15:53:00Z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